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4F7F9" w14:textId="420956A7" w:rsidR="006B69AD" w:rsidRPr="00A1119B" w:rsidRDefault="00777517" w:rsidP="00747F2D">
      <w:pPr>
        <w:pStyle w:val="Cover"/>
        <w:framePr w:wrap="notBeside"/>
      </w:pPr>
      <w:r>
        <w:t>I</w:t>
      </w:r>
      <w:r w:rsidR="00276D70">
        <w:t xml:space="preserve">nvitation </w:t>
      </w:r>
      <w:r>
        <w:t>T</w:t>
      </w:r>
      <w:r w:rsidR="00276D70">
        <w:t xml:space="preserve">o </w:t>
      </w:r>
      <w:r>
        <w:t>T</w:t>
      </w:r>
      <w:r w:rsidR="00276D70">
        <w:t xml:space="preserve">ender </w:t>
      </w:r>
      <w:r>
        <w:t xml:space="preserve">Part 1 - </w:t>
      </w:r>
      <w:r w:rsidR="00A349F3">
        <w:t xml:space="preserve">Stage </w:t>
      </w:r>
      <w:r w:rsidR="008A075A">
        <w:t>2</w:t>
      </w:r>
      <w:r w:rsidR="00A349F3">
        <w:t xml:space="preserve"> Feasibility</w:t>
      </w:r>
    </w:p>
    <w:p w14:paraId="3DF9C5AE" w14:textId="77777777" w:rsidR="006D6E17" w:rsidRDefault="006D6E17" w:rsidP="00747F2D">
      <w:pPr>
        <w:pStyle w:val="CoverSubtitle"/>
        <w:framePr w:wrap="notBeside"/>
      </w:pPr>
    </w:p>
    <w:p w14:paraId="3221685C" w14:textId="3C4FF74E" w:rsidR="006B69AD" w:rsidRPr="00A1119B" w:rsidRDefault="008A075A" w:rsidP="00747F2D">
      <w:pPr>
        <w:pStyle w:val="CoverSubtitle"/>
        <w:framePr w:wrap="notBeside"/>
      </w:pPr>
      <w:r>
        <w:t>Scope</w:t>
      </w:r>
      <w:r w:rsidR="003104F2">
        <w:t xml:space="preserve"> of Works</w:t>
      </w:r>
    </w:p>
    <w:p w14:paraId="46AD5FCC" w14:textId="77777777" w:rsidR="007D1A21" w:rsidRDefault="007D1A21" w:rsidP="00747F2D">
      <w:pPr>
        <w:pStyle w:val="CoverDate"/>
        <w:framePr w:wrap="notBeside"/>
      </w:pPr>
    </w:p>
    <w:p w14:paraId="0440EECD" w14:textId="77777777" w:rsidR="00F46312" w:rsidRPr="00F46312" w:rsidRDefault="00F46312" w:rsidP="00BC1612">
      <w:pPr>
        <w:pStyle w:val="BodyText"/>
        <w:rPr>
          <w:b/>
          <w:color w:val="F26522" w:themeColor="accent1"/>
        </w:rPr>
      </w:pPr>
    </w:p>
    <w:tbl>
      <w:tblPr>
        <w:tblStyle w:val="NationalGrid"/>
        <w:tblpPr w:leftFromText="180" w:rightFromText="180" w:vertAnchor="text" w:horzAnchor="margin" w:tblpY="9194"/>
        <w:tblW w:w="0" w:type="auto"/>
        <w:tblBorders>
          <w:top w:val="none" w:sz="0" w:space="0" w:color="auto"/>
          <w:bottom w:val="none" w:sz="0" w:space="0" w:color="auto"/>
          <w:insideH w:val="none" w:sz="0" w:space="0" w:color="auto"/>
        </w:tblBorders>
        <w:tblLook w:val="0600" w:firstRow="0" w:lastRow="0" w:firstColumn="0" w:lastColumn="0" w:noHBand="1" w:noVBand="1"/>
      </w:tblPr>
      <w:tblGrid>
        <w:gridCol w:w="2056"/>
        <w:gridCol w:w="6674"/>
      </w:tblGrid>
      <w:tr w:rsidR="00F92C30" w14:paraId="75D01DF0" w14:textId="77777777" w:rsidTr="00F92C30">
        <w:tc>
          <w:tcPr>
            <w:tcW w:w="2056" w:type="dxa"/>
          </w:tcPr>
          <w:p w14:paraId="4A15F235" w14:textId="77777777" w:rsidR="00F92C30" w:rsidRPr="00EC0C90" w:rsidRDefault="00F92C30" w:rsidP="00F92C30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Provider Name</w:t>
            </w:r>
          </w:p>
        </w:tc>
        <w:tc>
          <w:tcPr>
            <w:tcW w:w="6674" w:type="dxa"/>
          </w:tcPr>
          <w:p w14:paraId="46F9BCE3" w14:textId="77777777" w:rsidR="00F92C30" w:rsidRDefault="00F92C30" w:rsidP="00F92C30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F92C30" w14:paraId="2A682D8A" w14:textId="77777777" w:rsidTr="00F92C30">
        <w:tc>
          <w:tcPr>
            <w:tcW w:w="2056" w:type="dxa"/>
          </w:tcPr>
          <w:p w14:paraId="4C197959" w14:textId="77777777" w:rsidR="00F92C30" w:rsidRPr="00EC0C90" w:rsidRDefault="00F92C30" w:rsidP="00F92C30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 xml:space="preserve">Site/Asset/Project Name </w:t>
            </w:r>
          </w:p>
        </w:tc>
        <w:tc>
          <w:tcPr>
            <w:tcW w:w="6674" w:type="dxa"/>
          </w:tcPr>
          <w:p w14:paraId="08511A3C" w14:textId="77777777" w:rsidR="00F92C30" w:rsidRDefault="00F92C30" w:rsidP="00F92C30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  <w:tr w:rsidR="00F92C30" w14:paraId="244D87E6" w14:textId="77777777" w:rsidTr="00F92C30">
        <w:tc>
          <w:tcPr>
            <w:tcW w:w="2056" w:type="dxa"/>
          </w:tcPr>
          <w:p w14:paraId="79A7D461" w14:textId="77777777" w:rsidR="00F92C30" w:rsidRDefault="00F92C30" w:rsidP="00F92C30">
            <w:pPr>
              <w:pStyle w:val="TableBody"/>
              <w:rPr>
                <w:rStyle w:val="Bold"/>
              </w:rPr>
            </w:pPr>
            <w:r>
              <w:rPr>
                <w:rStyle w:val="Bold"/>
              </w:rPr>
              <w:t>Submission Date</w:t>
            </w:r>
          </w:p>
        </w:tc>
        <w:tc>
          <w:tcPr>
            <w:tcW w:w="6674" w:type="dxa"/>
          </w:tcPr>
          <w:p w14:paraId="368B97DB" w14:textId="77777777" w:rsidR="00F92C30" w:rsidRDefault="00F92C30" w:rsidP="00F92C30">
            <w:pPr>
              <w:pStyle w:val="TableBody"/>
              <w:rPr>
                <w:noProof/>
              </w:rPr>
            </w:pPr>
            <w:r>
              <w:rPr>
                <w:noProof/>
              </w:rPr>
              <w:t>[ Complete ]</w:t>
            </w:r>
          </w:p>
        </w:tc>
      </w:tr>
    </w:tbl>
    <w:p w14:paraId="4D634624" w14:textId="77777777" w:rsidR="006B69AD" w:rsidRDefault="006B69AD" w:rsidP="006B69AD"/>
    <w:p w14:paraId="7486A6C5" w14:textId="77777777" w:rsidR="006B69AD" w:rsidRPr="00A1119B" w:rsidRDefault="006B69AD" w:rsidP="00BC1612">
      <w:pPr>
        <w:pStyle w:val="BodyText"/>
        <w:sectPr w:rsidR="006B69AD" w:rsidRPr="00A1119B" w:rsidSect="00426B39">
          <w:footerReference w:type="default" r:id="rId11"/>
          <w:headerReference w:type="first" r:id="rId12"/>
          <w:footerReference w:type="first" r:id="rId13"/>
          <w:pgSz w:w="11906" w:h="16838" w:code="9"/>
          <w:pgMar w:top="2608" w:right="1588" w:bottom="1134" w:left="1588" w:header="567" w:footer="567" w:gutter="0"/>
          <w:pgNumType w:start="0"/>
          <w:cols w:space="708"/>
          <w:titlePg/>
          <w:docGrid w:linePitch="360"/>
        </w:sectPr>
      </w:pPr>
    </w:p>
    <w:p w14:paraId="6CB8CFA5" w14:textId="77777777" w:rsidR="008A72C9" w:rsidRPr="00BE3D3C" w:rsidRDefault="008A72C9" w:rsidP="006F1BB7">
      <w:pPr>
        <w:pStyle w:val="Contents"/>
        <w:framePr w:wrap="notBeside"/>
      </w:pPr>
      <w:r w:rsidRPr="00BE3D3C">
        <w:lastRenderedPageBreak/>
        <w:t>Contents</w:t>
      </w:r>
    </w:p>
    <w:p w14:paraId="2DA211DF" w14:textId="65978FB7" w:rsidR="00BE1EF3" w:rsidRDefault="008A72C9">
      <w:pPr>
        <w:pStyle w:val="TOC2"/>
        <w:rPr>
          <w:rFonts w:eastAsiaTheme="minorEastAsia"/>
          <w:color w:val="auto"/>
          <w:sz w:val="22"/>
          <w:szCs w:val="22"/>
          <w:lang w:eastAsia="en-GB"/>
        </w:rPr>
      </w:pPr>
      <w:r>
        <w:rPr>
          <w:color w:val="F26522" w:themeColor="accent1"/>
          <w:sz w:val="24"/>
        </w:rPr>
        <w:fldChar w:fldCharType="begin"/>
      </w:r>
      <w:r>
        <w:instrText xml:space="preserve"> TOC \h \z \t "Page Title,2,Section Title,1,Appendix page title,2,Appendix section title,1" </w:instrText>
      </w:r>
      <w:r>
        <w:rPr>
          <w:color w:val="F26522" w:themeColor="accent1"/>
          <w:sz w:val="24"/>
        </w:rPr>
        <w:fldChar w:fldCharType="separate"/>
      </w:r>
      <w:hyperlink w:anchor="_Toc107397799" w:history="1">
        <w:r w:rsidR="00BE1EF3" w:rsidRPr="00DF7F9B">
          <w:rPr>
            <w:rStyle w:val="Hyperlink"/>
          </w:rPr>
          <w:t>1.1 Introduction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_Toc107397799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2</w:t>
        </w:r>
        <w:r w:rsidR="00BE1EF3">
          <w:rPr>
            <w:webHidden/>
          </w:rPr>
          <w:fldChar w:fldCharType="end"/>
        </w:r>
      </w:hyperlink>
    </w:p>
    <w:p w14:paraId="3D94766C" w14:textId="05CC7EF2" w:rsidR="00BE1EF3" w:rsidRDefault="00A92B7E">
      <w:pPr>
        <w:pStyle w:val="TOC2"/>
        <w:tabs>
          <w:tab w:val="left" w:pos="660"/>
        </w:tabs>
        <w:rPr>
          <w:rFonts w:eastAsiaTheme="minorEastAsia"/>
          <w:color w:val="auto"/>
          <w:sz w:val="22"/>
          <w:szCs w:val="22"/>
          <w:lang w:eastAsia="en-GB"/>
        </w:rPr>
      </w:pPr>
      <w:hyperlink w:anchor="_Toc107397800" w:history="1">
        <w:r w:rsidR="00BE1EF3" w:rsidRPr="00DF7F9B">
          <w:rPr>
            <w:rStyle w:val="Hyperlink"/>
          </w:rPr>
          <w:t>1.2</w:t>
        </w:r>
        <w:r w:rsidR="00BE1EF3">
          <w:rPr>
            <w:rFonts w:eastAsiaTheme="minorEastAsia"/>
            <w:color w:val="auto"/>
            <w:sz w:val="22"/>
            <w:szCs w:val="22"/>
            <w:lang w:eastAsia="en-GB"/>
          </w:rPr>
          <w:tab/>
        </w:r>
        <w:r w:rsidR="00BE1EF3" w:rsidRPr="00DF7F9B">
          <w:rPr>
            <w:rStyle w:val="Hyperlink"/>
          </w:rPr>
          <w:t>Technical Capability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_Toc107397800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3</w:t>
        </w:r>
        <w:r w:rsidR="00BE1EF3">
          <w:rPr>
            <w:webHidden/>
          </w:rPr>
          <w:fldChar w:fldCharType="end"/>
        </w:r>
      </w:hyperlink>
    </w:p>
    <w:p w14:paraId="038FE1FB" w14:textId="4835E1BC" w:rsidR="00BE1EF3" w:rsidRDefault="00A92B7E">
      <w:pPr>
        <w:pStyle w:val="TOC2"/>
        <w:tabs>
          <w:tab w:val="left" w:pos="660"/>
        </w:tabs>
        <w:rPr>
          <w:rFonts w:eastAsiaTheme="minorEastAsia"/>
          <w:color w:val="auto"/>
          <w:sz w:val="22"/>
          <w:szCs w:val="22"/>
          <w:lang w:eastAsia="en-GB"/>
        </w:rPr>
      </w:pPr>
      <w:hyperlink w:anchor="_Toc107397801" w:history="1">
        <w:r w:rsidR="00BE1EF3" w:rsidRPr="00DF7F9B">
          <w:rPr>
            <w:rStyle w:val="Hyperlink"/>
          </w:rPr>
          <w:t>1.3</w:t>
        </w:r>
        <w:r w:rsidR="00BE1EF3">
          <w:rPr>
            <w:rFonts w:eastAsiaTheme="minorEastAsia"/>
            <w:color w:val="auto"/>
            <w:sz w:val="22"/>
            <w:szCs w:val="22"/>
            <w:lang w:eastAsia="en-GB"/>
          </w:rPr>
          <w:tab/>
        </w:r>
        <w:r w:rsidR="00BE1EF3" w:rsidRPr="00DF7F9B">
          <w:rPr>
            <w:rStyle w:val="Hyperlink"/>
          </w:rPr>
          <w:t>Implementation Strategy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_Toc107397801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5</w:t>
        </w:r>
        <w:r w:rsidR="00BE1EF3">
          <w:rPr>
            <w:webHidden/>
          </w:rPr>
          <w:fldChar w:fldCharType="end"/>
        </w:r>
      </w:hyperlink>
    </w:p>
    <w:p w14:paraId="41DD1E5E" w14:textId="67BB0DB9" w:rsidR="00BE1EF3" w:rsidRDefault="00A92B7E">
      <w:pPr>
        <w:pStyle w:val="TOC2"/>
        <w:tabs>
          <w:tab w:val="left" w:pos="660"/>
        </w:tabs>
        <w:rPr>
          <w:rFonts w:eastAsiaTheme="minorEastAsia"/>
          <w:color w:val="auto"/>
          <w:sz w:val="22"/>
          <w:szCs w:val="22"/>
          <w:lang w:eastAsia="en-GB"/>
        </w:rPr>
      </w:pPr>
      <w:hyperlink w:anchor="_Toc107397802" w:history="1">
        <w:r w:rsidR="00BE1EF3" w:rsidRPr="00DF7F9B">
          <w:rPr>
            <w:rStyle w:val="Hyperlink"/>
          </w:rPr>
          <w:t>1.4</w:t>
        </w:r>
        <w:r w:rsidR="00BE1EF3">
          <w:rPr>
            <w:rFonts w:eastAsiaTheme="minorEastAsia"/>
            <w:color w:val="auto"/>
            <w:sz w:val="22"/>
            <w:szCs w:val="22"/>
            <w:lang w:eastAsia="en-GB"/>
          </w:rPr>
          <w:tab/>
        </w:r>
        <w:r w:rsidR="00BE1EF3" w:rsidRPr="00DF7F9B">
          <w:rPr>
            <w:rStyle w:val="Hyperlink"/>
          </w:rPr>
          <w:t>Commercial Offer for ESR Service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_Toc107397802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6</w:t>
        </w:r>
        <w:r w:rsidR="00BE1EF3">
          <w:rPr>
            <w:webHidden/>
          </w:rPr>
          <w:fldChar w:fldCharType="end"/>
        </w:r>
      </w:hyperlink>
    </w:p>
    <w:p w14:paraId="5AE2E13A" w14:textId="3D870959" w:rsidR="00BE1EF3" w:rsidRDefault="00A92B7E">
      <w:pPr>
        <w:pStyle w:val="TOC2"/>
        <w:tabs>
          <w:tab w:val="left" w:pos="660"/>
        </w:tabs>
        <w:rPr>
          <w:rFonts w:eastAsiaTheme="minorEastAsia"/>
          <w:color w:val="auto"/>
          <w:sz w:val="22"/>
          <w:szCs w:val="22"/>
          <w:lang w:eastAsia="en-GB"/>
        </w:rPr>
      </w:pPr>
      <w:hyperlink w:anchor="_Toc107397803" w:history="1">
        <w:r w:rsidR="00BE1EF3" w:rsidRPr="00DF7F9B">
          <w:rPr>
            <w:rStyle w:val="Hyperlink"/>
          </w:rPr>
          <w:t>1.5</w:t>
        </w:r>
        <w:r w:rsidR="00BE1EF3">
          <w:rPr>
            <w:rFonts w:eastAsiaTheme="minorEastAsia"/>
            <w:color w:val="auto"/>
            <w:sz w:val="22"/>
            <w:szCs w:val="22"/>
            <w:lang w:eastAsia="en-GB"/>
          </w:rPr>
          <w:tab/>
        </w:r>
        <w:r w:rsidR="00BE1EF3" w:rsidRPr="00DF7F9B">
          <w:rPr>
            <w:rStyle w:val="Hyperlink"/>
          </w:rPr>
          <w:t>Cost of Delivering F2 report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_Toc107397803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7</w:t>
        </w:r>
        <w:r w:rsidR="00BE1EF3">
          <w:rPr>
            <w:webHidden/>
          </w:rPr>
          <w:fldChar w:fldCharType="end"/>
        </w:r>
      </w:hyperlink>
    </w:p>
    <w:p w14:paraId="4CE7492F" w14:textId="0F2281FF" w:rsidR="00BE1EF3" w:rsidRDefault="00A92B7E">
      <w:pPr>
        <w:pStyle w:val="TOC2"/>
        <w:rPr>
          <w:rFonts w:eastAsiaTheme="minorEastAsia"/>
          <w:color w:val="auto"/>
          <w:sz w:val="22"/>
          <w:szCs w:val="22"/>
          <w:lang w:eastAsia="en-GB"/>
        </w:rPr>
      </w:pPr>
      <w:hyperlink w:anchor="_Toc107397804" w:history="1">
        <w:r w:rsidR="00BE1EF3" w:rsidRPr="00DF7F9B">
          <w:rPr>
            <w:rStyle w:val="Hyperlink"/>
          </w:rPr>
          <w:t>1.6 List of Appendices / Attachments</w:t>
        </w:r>
        <w:r w:rsidR="00BE1EF3">
          <w:rPr>
            <w:webHidden/>
          </w:rPr>
          <w:tab/>
        </w:r>
        <w:r w:rsidR="00BE1EF3">
          <w:rPr>
            <w:webHidden/>
          </w:rPr>
          <w:fldChar w:fldCharType="begin"/>
        </w:r>
        <w:r w:rsidR="00BE1EF3">
          <w:rPr>
            <w:webHidden/>
          </w:rPr>
          <w:instrText xml:space="preserve"> PAGEREF _Toc107397804 \h </w:instrText>
        </w:r>
        <w:r w:rsidR="00BE1EF3">
          <w:rPr>
            <w:webHidden/>
          </w:rPr>
        </w:r>
        <w:r w:rsidR="00BE1EF3">
          <w:rPr>
            <w:webHidden/>
          </w:rPr>
          <w:fldChar w:fldCharType="separate"/>
        </w:r>
        <w:r w:rsidR="00EF0598">
          <w:rPr>
            <w:webHidden/>
          </w:rPr>
          <w:t>8</w:t>
        </w:r>
        <w:r w:rsidR="00BE1EF3">
          <w:rPr>
            <w:webHidden/>
          </w:rPr>
          <w:fldChar w:fldCharType="end"/>
        </w:r>
      </w:hyperlink>
    </w:p>
    <w:p w14:paraId="0C77353B" w14:textId="5FEF651E" w:rsidR="0065406D" w:rsidRDefault="008A72C9" w:rsidP="00E86BD9">
      <w:pPr>
        <w:pStyle w:val="BodyText"/>
      </w:pPr>
      <w:r>
        <w:fldChar w:fldCharType="end"/>
      </w:r>
    </w:p>
    <w:p w14:paraId="5441DD97" w14:textId="77777777" w:rsidR="0065406D" w:rsidRDefault="0065406D" w:rsidP="00E86BD9">
      <w:pPr>
        <w:pStyle w:val="BodyText"/>
        <w:sectPr w:rsidR="0065406D" w:rsidSect="00426B39">
          <w:headerReference w:type="first" r:id="rId14"/>
          <w:footerReference w:type="first" r:id="rId15"/>
          <w:pgSz w:w="11906" w:h="16838" w:code="9"/>
          <w:pgMar w:top="2608" w:right="1588" w:bottom="1134" w:left="1588" w:header="567" w:footer="567" w:gutter="0"/>
          <w:cols w:space="708"/>
          <w:titlePg/>
          <w:docGrid w:linePitch="360"/>
        </w:sectPr>
      </w:pPr>
    </w:p>
    <w:p w14:paraId="7DDEDCCB" w14:textId="77777777" w:rsidR="002F46B4" w:rsidRPr="006F1BB7" w:rsidRDefault="006D6E17" w:rsidP="006F1BB7">
      <w:pPr>
        <w:pStyle w:val="PageTitle"/>
        <w:framePr w:wrap="notBeside"/>
      </w:pPr>
      <w:bookmarkStart w:id="0" w:name="_Toc107397799"/>
      <w:r>
        <w:lastRenderedPageBreak/>
        <w:t xml:space="preserve">1.1 </w:t>
      </w:r>
      <w:r w:rsidR="003B78A7">
        <w:t>Introduction</w:t>
      </w:r>
      <w:bookmarkEnd w:id="0"/>
    </w:p>
    <w:p w14:paraId="69C94A02" w14:textId="5AD84A99" w:rsidR="00E57467" w:rsidRDefault="00CF1BD6" w:rsidP="00E57467">
      <w:pPr>
        <w:pStyle w:val="TableTitle"/>
      </w:pPr>
      <w:r>
        <w:br/>
      </w:r>
      <w:r>
        <w:br/>
      </w:r>
      <w:r w:rsidR="00E57467">
        <w:t>Purpose of the F2 Scope</w:t>
      </w:r>
    </w:p>
    <w:p w14:paraId="48FFF1E0" w14:textId="2A8C75E8" w:rsidR="00E57467" w:rsidRDefault="00B44981" w:rsidP="009D0841">
      <w:pPr>
        <w:spacing w:before="120" w:line="276" w:lineRule="auto"/>
        <w:jc w:val="both"/>
        <w:rPr>
          <w:rFonts w:asciiTheme="majorHAnsi" w:hAnsiTheme="majorHAnsi" w:cstheme="majorHAnsi"/>
        </w:rPr>
      </w:pPr>
      <w:r w:rsidRPr="00B44981">
        <w:rPr>
          <w:rFonts w:asciiTheme="majorHAnsi" w:hAnsiTheme="majorHAnsi" w:cstheme="majorHAnsi"/>
        </w:rPr>
        <w:t>Prior to commencement of an F2 Study and associated F2 Report</w:t>
      </w:r>
      <w:r w:rsidR="000F3A33">
        <w:rPr>
          <w:rFonts w:asciiTheme="majorHAnsi" w:hAnsiTheme="majorHAnsi" w:cstheme="majorHAnsi"/>
        </w:rPr>
        <w:t xml:space="preserve"> which takes place during ITT part 2</w:t>
      </w:r>
      <w:r w:rsidRPr="00B44981">
        <w:rPr>
          <w:rFonts w:asciiTheme="majorHAnsi" w:hAnsiTheme="majorHAnsi" w:cstheme="majorHAnsi"/>
        </w:rPr>
        <w:t xml:space="preserve">, a scope of works for delivering the report (including costs and programme) must be </w:t>
      </w:r>
      <w:r w:rsidR="00DF0F39">
        <w:rPr>
          <w:rFonts w:asciiTheme="majorHAnsi" w:hAnsiTheme="majorHAnsi" w:cstheme="majorHAnsi"/>
        </w:rPr>
        <w:t xml:space="preserve">written by the potential </w:t>
      </w:r>
      <w:r w:rsidR="000F3A33">
        <w:rPr>
          <w:rFonts w:asciiTheme="majorHAnsi" w:hAnsiTheme="majorHAnsi" w:cstheme="majorHAnsi"/>
        </w:rPr>
        <w:t>provider and</w:t>
      </w:r>
      <w:r w:rsidRPr="00B44981">
        <w:rPr>
          <w:rFonts w:asciiTheme="majorHAnsi" w:hAnsiTheme="majorHAnsi" w:cstheme="majorHAnsi"/>
        </w:rPr>
        <w:t xml:space="preserve"> approved by NGESO.</w:t>
      </w:r>
      <w:r>
        <w:rPr>
          <w:rFonts w:asciiTheme="majorHAnsi" w:hAnsiTheme="majorHAnsi" w:cstheme="majorHAnsi"/>
        </w:rPr>
        <w:t xml:space="preserve"> The purpose of the F2 </w:t>
      </w:r>
      <w:r w:rsidR="00881147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</w:rPr>
        <w:t xml:space="preserve">cope is to agree areas of focus for the F2 </w:t>
      </w:r>
      <w:r w:rsidR="00881147">
        <w:rPr>
          <w:rFonts w:asciiTheme="majorHAnsi" w:hAnsiTheme="majorHAnsi" w:cstheme="majorHAnsi"/>
        </w:rPr>
        <w:t>S</w:t>
      </w:r>
      <w:r>
        <w:rPr>
          <w:rFonts w:asciiTheme="majorHAnsi" w:hAnsiTheme="majorHAnsi" w:cstheme="majorHAnsi"/>
        </w:rPr>
        <w:t xml:space="preserve">tudy </w:t>
      </w:r>
      <w:r w:rsidR="00AE05E6">
        <w:rPr>
          <w:rFonts w:asciiTheme="majorHAnsi" w:hAnsiTheme="majorHAnsi" w:cstheme="majorHAnsi"/>
        </w:rPr>
        <w:t>tailored</w:t>
      </w:r>
      <w:r>
        <w:rPr>
          <w:rFonts w:asciiTheme="majorHAnsi" w:hAnsiTheme="majorHAnsi" w:cstheme="majorHAnsi"/>
        </w:rPr>
        <w:t xml:space="preserve"> to the </w:t>
      </w:r>
      <w:r w:rsidR="00AE05E6">
        <w:rPr>
          <w:rFonts w:asciiTheme="majorHAnsi" w:hAnsiTheme="majorHAnsi" w:cstheme="majorHAnsi"/>
        </w:rPr>
        <w:t xml:space="preserve">needs at potential </w:t>
      </w:r>
      <w:r>
        <w:rPr>
          <w:rFonts w:asciiTheme="majorHAnsi" w:hAnsiTheme="majorHAnsi" w:cstheme="majorHAnsi"/>
        </w:rPr>
        <w:t>provider</w:t>
      </w:r>
      <w:r w:rsidR="00AE05E6">
        <w:rPr>
          <w:rFonts w:asciiTheme="majorHAnsi" w:hAnsiTheme="majorHAnsi" w:cstheme="majorHAnsi"/>
        </w:rPr>
        <w:t>’s site</w:t>
      </w:r>
      <w:r>
        <w:rPr>
          <w:rFonts w:asciiTheme="majorHAnsi" w:hAnsiTheme="majorHAnsi" w:cstheme="majorHAnsi"/>
        </w:rPr>
        <w:t xml:space="preserve">, to ensure completeness of the study, </w:t>
      </w:r>
      <w:r w:rsidR="002D2CEA">
        <w:rPr>
          <w:rFonts w:asciiTheme="majorHAnsi" w:hAnsiTheme="majorHAnsi" w:cstheme="majorHAnsi"/>
        </w:rPr>
        <w:t xml:space="preserve">and </w:t>
      </w:r>
      <w:r w:rsidR="00BD09C8">
        <w:rPr>
          <w:rFonts w:asciiTheme="majorHAnsi" w:hAnsiTheme="majorHAnsi" w:cstheme="majorHAnsi"/>
        </w:rPr>
        <w:t xml:space="preserve">to facilitate the contractual </w:t>
      </w:r>
      <w:r w:rsidR="002D2CEA">
        <w:rPr>
          <w:rFonts w:asciiTheme="majorHAnsi" w:hAnsiTheme="majorHAnsi" w:cstheme="majorHAnsi"/>
        </w:rPr>
        <w:t xml:space="preserve">release of requested funds. </w:t>
      </w:r>
    </w:p>
    <w:p w14:paraId="699410F5" w14:textId="77777777" w:rsidR="009D0841" w:rsidRDefault="009D0841" w:rsidP="009D0841">
      <w:pPr>
        <w:spacing w:before="120" w:line="276" w:lineRule="auto"/>
        <w:jc w:val="both"/>
        <w:rPr>
          <w:rFonts w:asciiTheme="majorHAnsi" w:hAnsiTheme="majorHAnsi" w:cstheme="majorHAnsi"/>
        </w:rPr>
      </w:pPr>
    </w:p>
    <w:p w14:paraId="1DEEEF86" w14:textId="77777777" w:rsidR="00E57467" w:rsidRDefault="00E57467" w:rsidP="00E57467">
      <w:pPr>
        <w:pStyle w:val="TableTitle"/>
      </w:pPr>
      <w:r>
        <w:t>Approach for agreeing the F2 Scope</w:t>
      </w:r>
    </w:p>
    <w:p w14:paraId="7267B6A7" w14:textId="122A4EEB" w:rsidR="00AD3224" w:rsidRPr="00AD3224" w:rsidRDefault="00AD3224" w:rsidP="00E57467">
      <w:pPr>
        <w:spacing w:before="12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</w:t>
      </w:r>
      <w:r w:rsidR="003E09BC" w:rsidRPr="00AD3224">
        <w:rPr>
          <w:rFonts w:asciiTheme="majorHAnsi" w:hAnsiTheme="majorHAnsi" w:cstheme="majorHAnsi"/>
        </w:rPr>
        <w:t xml:space="preserve">n a </w:t>
      </w:r>
      <w:r w:rsidR="001C7811" w:rsidRPr="00E57467">
        <w:rPr>
          <w:rFonts w:asciiTheme="majorHAnsi" w:hAnsiTheme="majorHAnsi" w:cstheme="majorHAnsi"/>
        </w:rPr>
        <w:t>case-by-</w:t>
      </w:r>
      <w:r w:rsidR="003E09BC" w:rsidRPr="00E57467">
        <w:rPr>
          <w:rFonts w:asciiTheme="majorHAnsi" w:hAnsiTheme="majorHAnsi" w:cstheme="majorHAnsi"/>
        </w:rPr>
        <w:t>case</w:t>
      </w:r>
      <w:r w:rsidR="003E09BC" w:rsidRPr="00AD3224">
        <w:rPr>
          <w:rFonts w:asciiTheme="majorHAnsi" w:hAnsiTheme="majorHAnsi" w:cstheme="majorHAnsi"/>
        </w:rPr>
        <w:t xml:space="preserve"> basis </w:t>
      </w:r>
      <w:r w:rsidR="00062D1B">
        <w:rPr>
          <w:rFonts w:asciiTheme="majorHAnsi" w:hAnsiTheme="majorHAnsi" w:cstheme="majorHAnsi"/>
        </w:rPr>
        <w:t>a</w:t>
      </w:r>
      <w:r w:rsidR="001C7811" w:rsidRPr="00AD3224">
        <w:rPr>
          <w:rFonts w:asciiTheme="majorHAnsi" w:hAnsiTheme="majorHAnsi" w:cstheme="majorHAnsi"/>
        </w:rPr>
        <w:t xml:space="preserve">ll </w:t>
      </w:r>
      <w:r w:rsidR="003E09BC" w:rsidRPr="00AD3224">
        <w:rPr>
          <w:rFonts w:asciiTheme="majorHAnsi" w:hAnsiTheme="majorHAnsi" w:cstheme="majorHAnsi"/>
        </w:rPr>
        <w:t>scope</w:t>
      </w:r>
      <w:r w:rsidR="001C7811" w:rsidRPr="00AD3224">
        <w:rPr>
          <w:rFonts w:asciiTheme="majorHAnsi" w:hAnsiTheme="majorHAnsi" w:cstheme="majorHAnsi"/>
        </w:rPr>
        <w:t>s</w:t>
      </w:r>
      <w:r w:rsidR="003E09BC" w:rsidRPr="00AD3224">
        <w:rPr>
          <w:rFonts w:asciiTheme="majorHAnsi" w:hAnsiTheme="majorHAnsi" w:cstheme="majorHAnsi"/>
        </w:rPr>
        <w:t xml:space="preserve"> for </w:t>
      </w:r>
      <w:r w:rsidR="001C7811" w:rsidRPr="00AD3224">
        <w:rPr>
          <w:rFonts w:asciiTheme="majorHAnsi" w:hAnsiTheme="majorHAnsi" w:cstheme="majorHAnsi"/>
        </w:rPr>
        <w:t>F2 s</w:t>
      </w:r>
      <w:r w:rsidR="003E09BC" w:rsidRPr="00AD3224">
        <w:rPr>
          <w:rFonts w:asciiTheme="majorHAnsi" w:hAnsiTheme="majorHAnsi" w:cstheme="majorHAnsi"/>
        </w:rPr>
        <w:t>tud</w:t>
      </w:r>
      <w:r w:rsidR="001C7811" w:rsidRPr="00AD3224">
        <w:rPr>
          <w:rFonts w:asciiTheme="majorHAnsi" w:hAnsiTheme="majorHAnsi" w:cstheme="majorHAnsi"/>
        </w:rPr>
        <w:t>ies</w:t>
      </w:r>
      <w:r w:rsidR="003E09BC" w:rsidRPr="00AD322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will </w:t>
      </w:r>
      <w:r w:rsidR="00F04476" w:rsidRPr="00AD3224">
        <w:rPr>
          <w:rFonts w:asciiTheme="majorHAnsi" w:hAnsiTheme="majorHAnsi" w:cstheme="majorHAnsi"/>
        </w:rPr>
        <w:t xml:space="preserve">need to be </w:t>
      </w:r>
      <w:r w:rsidR="003E09BC" w:rsidRPr="00AD3224">
        <w:rPr>
          <w:rFonts w:asciiTheme="majorHAnsi" w:hAnsiTheme="majorHAnsi" w:cstheme="majorHAnsi"/>
        </w:rPr>
        <w:t xml:space="preserve">discussed and agreed </w:t>
      </w:r>
      <w:r w:rsidR="001C7811" w:rsidRPr="00AD3224">
        <w:rPr>
          <w:rFonts w:asciiTheme="majorHAnsi" w:hAnsiTheme="majorHAnsi" w:cstheme="majorHAnsi"/>
        </w:rPr>
        <w:t xml:space="preserve">individually between NGESO and the </w:t>
      </w:r>
      <w:r>
        <w:rPr>
          <w:rFonts w:asciiTheme="majorHAnsi" w:hAnsiTheme="majorHAnsi" w:cstheme="majorHAnsi"/>
        </w:rPr>
        <w:t xml:space="preserve">potential </w:t>
      </w:r>
      <w:r w:rsidR="0066266B">
        <w:rPr>
          <w:rFonts w:asciiTheme="majorHAnsi" w:hAnsiTheme="majorHAnsi" w:cstheme="majorHAnsi"/>
        </w:rPr>
        <w:t>ESR</w:t>
      </w:r>
      <w:r>
        <w:rPr>
          <w:rFonts w:asciiTheme="majorHAnsi" w:hAnsiTheme="majorHAnsi" w:cstheme="majorHAnsi"/>
        </w:rPr>
        <w:t xml:space="preserve"> Service Provider, due to the differing characteristics of</w:t>
      </w:r>
      <w:r w:rsidRPr="00AD3224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the potential </w:t>
      </w:r>
      <w:r w:rsidR="0066266B">
        <w:rPr>
          <w:rFonts w:asciiTheme="majorHAnsi" w:hAnsiTheme="majorHAnsi" w:cstheme="majorHAnsi"/>
        </w:rPr>
        <w:t>ESR</w:t>
      </w:r>
      <w:r>
        <w:rPr>
          <w:rFonts w:asciiTheme="majorHAnsi" w:hAnsiTheme="majorHAnsi" w:cstheme="majorHAnsi"/>
        </w:rPr>
        <w:t xml:space="preserve"> Service Providers’ equipment/plant.</w:t>
      </w:r>
    </w:p>
    <w:p w14:paraId="0FD70FBE" w14:textId="11DB6BC3" w:rsidR="001C7811" w:rsidRPr="00AD3224" w:rsidRDefault="00F04476" w:rsidP="00E57467">
      <w:pPr>
        <w:spacing w:before="120" w:line="276" w:lineRule="auto"/>
        <w:jc w:val="both"/>
        <w:rPr>
          <w:rFonts w:asciiTheme="majorHAnsi" w:hAnsiTheme="majorHAnsi" w:cstheme="majorHAnsi"/>
        </w:rPr>
      </w:pPr>
      <w:r w:rsidRPr="00AD3224">
        <w:rPr>
          <w:rFonts w:asciiTheme="majorHAnsi" w:hAnsiTheme="majorHAnsi" w:cstheme="majorHAnsi"/>
        </w:rPr>
        <w:t xml:space="preserve">Nonetheless, </w:t>
      </w:r>
      <w:r w:rsidR="005625B8">
        <w:rPr>
          <w:rFonts w:asciiTheme="majorHAnsi" w:hAnsiTheme="majorHAnsi" w:cstheme="majorHAnsi"/>
        </w:rPr>
        <w:t xml:space="preserve">on submission of each F2 </w:t>
      </w:r>
      <w:r w:rsidR="00881147">
        <w:rPr>
          <w:rFonts w:asciiTheme="majorHAnsi" w:hAnsiTheme="majorHAnsi" w:cstheme="majorHAnsi"/>
        </w:rPr>
        <w:t>R</w:t>
      </w:r>
      <w:r w:rsidR="00B44981">
        <w:rPr>
          <w:rFonts w:asciiTheme="majorHAnsi" w:hAnsiTheme="majorHAnsi" w:cstheme="majorHAnsi"/>
        </w:rPr>
        <w:t>eport,</w:t>
      </w:r>
      <w:r w:rsidR="005625B8">
        <w:rPr>
          <w:rFonts w:asciiTheme="majorHAnsi" w:hAnsiTheme="majorHAnsi" w:cstheme="majorHAnsi"/>
        </w:rPr>
        <w:t xml:space="preserve"> </w:t>
      </w:r>
      <w:r w:rsidRPr="00AD3224">
        <w:rPr>
          <w:rFonts w:asciiTheme="majorHAnsi" w:hAnsiTheme="majorHAnsi" w:cstheme="majorHAnsi"/>
        </w:rPr>
        <w:t xml:space="preserve">NGESO </w:t>
      </w:r>
      <w:r w:rsidR="005625B8">
        <w:rPr>
          <w:rFonts w:asciiTheme="majorHAnsi" w:hAnsiTheme="majorHAnsi" w:cstheme="majorHAnsi"/>
        </w:rPr>
        <w:t>requires</w:t>
      </w:r>
      <w:r w:rsidR="001C7811" w:rsidRPr="00AD3224">
        <w:rPr>
          <w:rFonts w:asciiTheme="majorHAnsi" w:hAnsiTheme="majorHAnsi" w:cstheme="majorHAnsi"/>
        </w:rPr>
        <w:t xml:space="preserve"> </w:t>
      </w:r>
      <w:r w:rsidR="005625B8">
        <w:rPr>
          <w:rFonts w:asciiTheme="majorHAnsi" w:hAnsiTheme="majorHAnsi" w:cstheme="majorHAnsi"/>
        </w:rPr>
        <w:t xml:space="preserve">sufficient </w:t>
      </w:r>
      <w:r w:rsidRPr="00AD3224">
        <w:rPr>
          <w:rFonts w:asciiTheme="majorHAnsi" w:hAnsiTheme="majorHAnsi" w:cstheme="majorHAnsi"/>
        </w:rPr>
        <w:t xml:space="preserve">information to </w:t>
      </w:r>
      <w:r w:rsidR="000F3A33">
        <w:rPr>
          <w:rFonts w:asciiTheme="majorHAnsi" w:hAnsiTheme="majorHAnsi" w:cstheme="majorHAnsi"/>
        </w:rPr>
        <w:t>evaluate the proposed offer technically and commercially</w:t>
      </w:r>
      <w:r w:rsidR="005625B8">
        <w:rPr>
          <w:rFonts w:asciiTheme="majorHAnsi" w:hAnsiTheme="majorHAnsi" w:cstheme="majorHAnsi"/>
        </w:rPr>
        <w:t xml:space="preserve"> for a </w:t>
      </w:r>
      <w:r w:rsidR="0066266B">
        <w:rPr>
          <w:rFonts w:asciiTheme="majorHAnsi" w:hAnsiTheme="majorHAnsi" w:cstheme="majorHAnsi"/>
        </w:rPr>
        <w:t>Restoration</w:t>
      </w:r>
      <w:r w:rsidR="005625B8">
        <w:rPr>
          <w:rFonts w:asciiTheme="majorHAnsi" w:hAnsiTheme="majorHAnsi" w:cstheme="majorHAnsi"/>
        </w:rPr>
        <w:t xml:space="preserve"> service. </w:t>
      </w:r>
    </w:p>
    <w:p w14:paraId="7FCC5DAA" w14:textId="77777777" w:rsidR="00DB4FDE" w:rsidRPr="003B78A7" w:rsidRDefault="00DB4FDE" w:rsidP="00A61393">
      <w:pPr>
        <w:rPr>
          <w:rFonts w:asciiTheme="majorHAnsi" w:hAnsiTheme="majorHAnsi" w:cstheme="majorHAnsi"/>
        </w:rPr>
      </w:pPr>
    </w:p>
    <w:p w14:paraId="5E323CAA" w14:textId="77777777" w:rsidR="00450BA2" w:rsidRDefault="00E57467" w:rsidP="00E57467">
      <w:pPr>
        <w:pStyle w:val="TableTitle"/>
      </w:pPr>
      <w:r>
        <w:t>Instructions</w:t>
      </w:r>
    </w:p>
    <w:p w14:paraId="484E33FA" w14:textId="5FE8DAA3" w:rsidR="00834E10" w:rsidRPr="003B78A7" w:rsidRDefault="00E57467" w:rsidP="00A6139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Each of the tables below include the requirements </w:t>
      </w:r>
      <w:r w:rsidR="00B44981">
        <w:rPr>
          <w:rFonts w:asciiTheme="majorHAnsi" w:hAnsiTheme="majorHAnsi" w:cstheme="majorHAnsi"/>
        </w:rPr>
        <w:t xml:space="preserve">for each section of the F2 </w:t>
      </w:r>
      <w:r w:rsidR="00881147">
        <w:rPr>
          <w:rFonts w:asciiTheme="majorHAnsi" w:hAnsiTheme="majorHAnsi" w:cstheme="majorHAnsi"/>
        </w:rPr>
        <w:t>R</w:t>
      </w:r>
      <w:r w:rsidR="00B44981">
        <w:rPr>
          <w:rFonts w:asciiTheme="majorHAnsi" w:hAnsiTheme="majorHAnsi" w:cstheme="majorHAnsi"/>
        </w:rPr>
        <w:t>eport.</w:t>
      </w:r>
      <w:r>
        <w:rPr>
          <w:rFonts w:asciiTheme="majorHAnsi" w:hAnsiTheme="majorHAnsi" w:cstheme="majorHAnsi"/>
        </w:rPr>
        <w:t xml:space="preserve"> Please use the empty ‘Provider Response’ cells to explain </w:t>
      </w:r>
      <w:r w:rsidR="00B44981">
        <w:rPr>
          <w:rFonts w:asciiTheme="majorHAnsi" w:hAnsiTheme="majorHAnsi" w:cstheme="majorHAnsi"/>
        </w:rPr>
        <w:t xml:space="preserve">how you plan to </w:t>
      </w:r>
      <w:r w:rsidR="00AE05E6">
        <w:rPr>
          <w:rFonts w:asciiTheme="majorHAnsi" w:hAnsiTheme="majorHAnsi" w:cstheme="majorHAnsi"/>
        </w:rPr>
        <w:t xml:space="preserve">undertake </w:t>
      </w:r>
      <w:r w:rsidR="00B44981">
        <w:rPr>
          <w:rFonts w:asciiTheme="majorHAnsi" w:hAnsiTheme="majorHAnsi" w:cstheme="majorHAnsi"/>
        </w:rPr>
        <w:t xml:space="preserve">each section of the F2 </w:t>
      </w:r>
      <w:r w:rsidR="00881147">
        <w:rPr>
          <w:rFonts w:asciiTheme="majorHAnsi" w:hAnsiTheme="majorHAnsi" w:cstheme="majorHAnsi"/>
        </w:rPr>
        <w:t>R</w:t>
      </w:r>
      <w:r w:rsidR="00B44981">
        <w:rPr>
          <w:rFonts w:asciiTheme="majorHAnsi" w:hAnsiTheme="majorHAnsi" w:cstheme="majorHAnsi"/>
        </w:rPr>
        <w:t xml:space="preserve">eport. </w:t>
      </w:r>
    </w:p>
    <w:p w14:paraId="7B2CDF13" w14:textId="3DBA26E2" w:rsidR="00C90CDD" w:rsidRDefault="003B78A7" w:rsidP="00DE0684">
      <w:r>
        <w:br w:type="page"/>
      </w:r>
    </w:p>
    <w:p w14:paraId="0376D344" w14:textId="0051B028" w:rsidR="003B78A7" w:rsidRPr="006F1BB7" w:rsidRDefault="007618D3" w:rsidP="005368FE">
      <w:pPr>
        <w:pStyle w:val="PageTitle"/>
        <w:framePr w:wrap="notBeside"/>
        <w:numPr>
          <w:ilvl w:val="1"/>
          <w:numId w:val="19"/>
        </w:numPr>
      </w:pPr>
      <w:bookmarkStart w:id="1" w:name="_Toc107397800"/>
      <w:r>
        <w:lastRenderedPageBreak/>
        <w:t xml:space="preserve"> </w:t>
      </w:r>
      <w:r w:rsidR="003B78A7">
        <w:t>Technical Capability</w:t>
      </w:r>
      <w:bookmarkEnd w:id="1"/>
    </w:p>
    <w:p w14:paraId="005FB303" w14:textId="11DEA13E" w:rsidR="00CF1BD6" w:rsidRDefault="00CF1BD6" w:rsidP="00BD09C8">
      <w:pPr>
        <w:pStyle w:val="BodyText"/>
      </w:pPr>
    </w:p>
    <w:p w14:paraId="24DC79CD" w14:textId="77777777" w:rsidR="00BD09C8" w:rsidRDefault="00BD09C8" w:rsidP="00BD09C8">
      <w:pPr>
        <w:pStyle w:val="BodyText"/>
      </w:pPr>
    </w:p>
    <w:p w14:paraId="009398D2" w14:textId="76DCB086" w:rsidR="00554B50" w:rsidRDefault="00554B50" w:rsidP="00554B50">
      <w:pPr>
        <w:pStyle w:val="Heading1Numbered"/>
        <w:numPr>
          <w:ilvl w:val="0"/>
          <w:numId w:val="0"/>
        </w:numPr>
        <w:ind w:left="397" w:hanging="397"/>
        <w:jc w:val="both"/>
      </w:pPr>
      <w:r>
        <w:t>1.2.1 Confirmation of Capability</w:t>
      </w:r>
      <w:r w:rsidR="00551385">
        <w:t xml:space="preserve"> – </w:t>
      </w:r>
      <w:r w:rsidR="000F3A33">
        <w:t>ESR</w:t>
      </w:r>
      <w:r w:rsidR="00551385">
        <w:t xml:space="preserve"> Service</w:t>
      </w: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554B50" w14:paraId="54F5F3DD" w14:textId="77777777" w:rsidTr="008D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395A5DD9" w14:textId="77777777" w:rsidR="00554B50" w:rsidRDefault="00554B50" w:rsidP="008D7B5E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5ACF1217" w14:textId="23FA297F" w:rsidR="00554B50" w:rsidRPr="00051747" w:rsidRDefault="00554B50" w:rsidP="008D7B5E">
            <w:pPr>
              <w:jc w:val="both"/>
            </w:pPr>
            <w:r w:rsidRPr="00051747">
              <w:t xml:space="preserve">The full F2 Report submitted by the tenderer shall confirm (backed up with physical, simulated and/or written evidence) the </w:t>
            </w:r>
            <w:r w:rsidR="005A5538">
              <w:t>ESR</w:t>
            </w:r>
            <w:r w:rsidRPr="00051747">
              <w:t xml:space="preserve"> capability of the equipment/Plant</w:t>
            </w:r>
            <w:r w:rsidR="000F3A33">
              <w:t xml:space="preserve"> to meet the technical requirements</w:t>
            </w:r>
            <w:r w:rsidR="009B733C">
              <w:t>.</w:t>
            </w:r>
            <w:r w:rsidR="000F3A33">
              <w:t xml:space="preserve"> </w:t>
            </w:r>
          </w:p>
        </w:tc>
      </w:tr>
      <w:tr w:rsidR="00554B50" w14:paraId="69F6F6B3" w14:textId="77777777" w:rsidTr="008D7B5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A995A9F" w14:textId="77777777" w:rsidR="00554B50" w:rsidRDefault="00554B50" w:rsidP="008D7B5E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96EF59E" w14:textId="4704F000" w:rsidR="005A5538" w:rsidRDefault="005A5538" w:rsidP="005A5538">
            <w:pPr>
              <w:jc w:val="both"/>
            </w:pPr>
            <w:r>
              <w:t>Where applicable.</w:t>
            </w:r>
          </w:p>
          <w:p w14:paraId="683670D5" w14:textId="1ABD40E3" w:rsidR="00554B50" w:rsidRPr="00051747" w:rsidRDefault="004C7C6A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 xml:space="preserve">Confirmation of Capability – </w:t>
            </w:r>
            <w:r w:rsidR="00CA086E" w:rsidRPr="00051747">
              <w:t>OEM</w:t>
            </w:r>
            <w:r w:rsidR="00554B50" w:rsidRPr="00051747">
              <w:t xml:space="preserve"> Report</w:t>
            </w:r>
            <w:r w:rsidR="0066266B">
              <w:t xml:space="preserve">, if required </w:t>
            </w:r>
            <w:r w:rsidR="00554B50" w:rsidRPr="00051747">
              <w:t>(further details under 1.2.2</w:t>
            </w:r>
            <w:proofErr w:type="gramStart"/>
            <w:r w:rsidR="00554B50" w:rsidRPr="00051747">
              <w:t>);</w:t>
            </w:r>
            <w:proofErr w:type="gramEnd"/>
          </w:p>
          <w:p w14:paraId="0B938AF3" w14:textId="2B890C49" w:rsidR="00F67189" w:rsidRPr="00051747" w:rsidRDefault="00F67189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 xml:space="preserve">Confirmation of </w:t>
            </w:r>
            <w:r w:rsidR="00B52450" w:rsidRPr="00051747">
              <w:t>c</w:t>
            </w:r>
            <w:r w:rsidRPr="00051747">
              <w:t>apability</w:t>
            </w:r>
            <w:r w:rsidR="00B52450" w:rsidRPr="00051747">
              <w:t xml:space="preserve"> of the (overall) </w:t>
            </w:r>
            <w:r w:rsidR="0066266B">
              <w:t>ESR</w:t>
            </w:r>
            <w:r w:rsidR="00B52450" w:rsidRPr="00051747">
              <w:t xml:space="preserve"> Service</w:t>
            </w:r>
            <w:r w:rsidRPr="00051747">
              <w:t>:</w:t>
            </w:r>
          </w:p>
          <w:p w14:paraId="36465183" w14:textId="2A77246C" w:rsidR="0041718A" w:rsidRPr="00051747" w:rsidRDefault="0066266B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>
              <w:t>ESR</w:t>
            </w:r>
            <w:r w:rsidR="0041718A" w:rsidRPr="00051747">
              <w:t xml:space="preserve"> </w:t>
            </w:r>
            <w:r w:rsidR="007D0EA0" w:rsidRPr="00051747">
              <w:t>c</w:t>
            </w:r>
            <w:r w:rsidR="0041718A" w:rsidRPr="00051747">
              <w:t xml:space="preserve">apability, operation and control of the </w:t>
            </w:r>
            <w:r w:rsidR="00CD1230" w:rsidRPr="00051747">
              <w:t>equipment/</w:t>
            </w:r>
            <w:proofErr w:type="gramStart"/>
            <w:r w:rsidR="0041718A" w:rsidRPr="00051747">
              <w:t>Plant;</w:t>
            </w:r>
            <w:proofErr w:type="gramEnd"/>
          </w:p>
          <w:p w14:paraId="42B1E223" w14:textId="77777777" w:rsidR="0041718A" w:rsidRPr="00051747" w:rsidRDefault="00B52450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 w:rsidRPr="00051747">
              <w:t>S</w:t>
            </w:r>
            <w:r w:rsidR="0041718A" w:rsidRPr="00051747">
              <w:t>tart-up power requirements and</w:t>
            </w:r>
            <w:r w:rsidR="00F67189" w:rsidRPr="00051747">
              <w:t xml:space="preserve"> related profile, with any peak </w:t>
            </w:r>
            <w:proofErr w:type="gramStart"/>
            <w:r w:rsidR="0041718A" w:rsidRPr="00051747">
              <w:t>requirements;</w:t>
            </w:r>
            <w:proofErr w:type="gramEnd"/>
          </w:p>
          <w:p w14:paraId="3D3D207F" w14:textId="09C850F2" w:rsidR="00CD1230" w:rsidRPr="00051747" w:rsidRDefault="0041718A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 w:rsidRPr="00051747">
              <w:t xml:space="preserve">Time to Connect </w:t>
            </w:r>
            <w:r w:rsidR="00CD1230" w:rsidRPr="00051747">
              <w:t xml:space="preserve">(if variable, </w:t>
            </w:r>
            <w:r w:rsidR="006477C2" w:rsidRPr="00051747">
              <w:t>e.g.,</w:t>
            </w:r>
            <w:r w:rsidR="00CD1230" w:rsidRPr="00051747">
              <w:t xml:space="preserve"> warmth state, detail accordingly</w:t>
            </w:r>
            <w:proofErr w:type="gramStart"/>
            <w:r w:rsidR="00CD1230" w:rsidRPr="00051747">
              <w:t>);</w:t>
            </w:r>
            <w:proofErr w:type="gramEnd"/>
          </w:p>
          <w:p w14:paraId="6D14826C" w14:textId="05E2314E" w:rsidR="0041718A" w:rsidRPr="00051747" w:rsidRDefault="00B52450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 w:rsidRPr="00051747">
              <w:t>S</w:t>
            </w:r>
            <w:r w:rsidR="0041718A" w:rsidRPr="00051747">
              <w:t xml:space="preserve">tart-up sequence in </w:t>
            </w:r>
            <w:r w:rsidR="0066266B">
              <w:t>ESR</w:t>
            </w:r>
            <w:r w:rsidR="0041718A" w:rsidRPr="00051747">
              <w:t xml:space="preserve"> mode (if variable, </w:t>
            </w:r>
            <w:r w:rsidR="006477C2" w:rsidRPr="00051747">
              <w:t>e.g.,</w:t>
            </w:r>
            <w:r w:rsidR="0041718A" w:rsidRPr="00051747">
              <w:t xml:space="preserve"> warmth state, detail accordingly</w:t>
            </w:r>
            <w:proofErr w:type="gramStart"/>
            <w:r w:rsidR="007D4D2F" w:rsidRPr="00051747">
              <w:t>)</w:t>
            </w:r>
            <w:r w:rsidR="0041718A" w:rsidRPr="00051747">
              <w:t>;</w:t>
            </w:r>
            <w:proofErr w:type="gramEnd"/>
          </w:p>
          <w:p w14:paraId="46DC64B7" w14:textId="58CA8AF3" w:rsidR="0041718A" w:rsidRPr="00051747" w:rsidRDefault="00CD1230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 w:rsidRPr="00051747">
              <w:t xml:space="preserve">Resilience of </w:t>
            </w:r>
            <w:r w:rsidR="00FF0A71" w:rsidRPr="00051747">
              <w:t>s</w:t>
            </w:r>
            <w:r w:rsidRPr="00051747">
              <w:t>upply</w:t>
            </w:r>
            <w:r w:rsidR="00551385" w:rsidRPr="00051747">
              <w:t xml:space="preserve"> </w:t>
            </w:r>
            <w:r w:rsidR="004C7C6A" w:rsidRPr="00051747">
              <w:t>–</w:t>
            </w:r>
            <w:r w:rsidR="00FF0A71" w:rsidRPr="00051747">
              <w:t xml:space="preserve"> </w:t>
            </w:r>
            <w:r w:rsidR="00BE1EF3">
              <w:t>ESR</w:t>
            </w:r>
            <w:r w:rsidRPr="00051747">
              <w:t xml:space="preserve"> Service</w:t>
            </w:r>
            <w:r w:rsidR="00C57335" w:rsidRPr="00051747">
              <w:t xml:space="preserve"> (</w:t>
            </w:r>
            <w:r w:rsidR="00C57335" w:rsidRPr="00051747">
              <w:rPr>
                <w:rFonts w:cstheme="minorHAnsi"/>
              </w:rPr>
              <w:t>≥</w:t>
            </w:r>
            <w:r w:rsidR="00C57335" w:rsidRPr="00051747">
              <w:t>10h at contracted output</w:t>
            </w:r>
            <w:proofErr w:type="gramStart"/>
            <w:r w:rsidR="00C57335" w:rsidRPr="00051747">
              <w:t>)</w:t>
            </w:r>
            <w:r w:rsidRPr="00051747">
              <w:t>;</w:t>
            </w:r>
            <w:proofErr w:type="gramEnd"/>
          </w:p>
          <w:p w14:paraId="1010A783" w14:textId="77777777" w:rsidR="00554B50" w:rsidRPr="00051747" w:rsidRDefault="00551385" w:rsidP="005368FE">
            <w:pPr>
              <w:pStyle w:val="ListParagraph"/>
              <w:numPr>
                <w:ilvl w:val="0"/>
                <w:numId w:val="23"/>
              </w:numPr>
              <w:ind w:left="938" w:hanging="425"/>
              <w:jc w:val="both"/>
            </w:pPr>
            <w:r w:rsidRPr="00051747">
              <w:t xml:space="preserve">Ability </w:t>
            </w:r>
            <w:r w:rsidR="00D9443B" w:rsidRPr="00051747">
              <w:t xml:space="preserve">of the equipment/Plant </w:t>
            </w:r>
            <w:r w:rsidRPr="00051747">
              <w:t xml:space="preserve">to meet the </w:t>
            </w:r>
            <w:r w:rsidRPr="00051747">
              <w:rPr>
                <w:rFonts w:cstheme="minorHAnsi"/>
              </w:rPr>
              <w:t>≥</w:t>
            </w:r>
            <w:r w:rsidRPr="00051747">
              <w:t xml:space="preserve">90% </w:t>
            </w:r>
            <w:r w:rsidR="00D9443B" w:rsidRPr="00051747">
              <w:t xml:space="preserve">availability </w:t>
            </w:r>
            <w:r w:rsidR="007D0EA0" w:rsidRPr="00051747">
              <w:t>requirement.</w:t>
            </w:r>
          </w:p>
        </w:tc>
      </w:tr>
      <w:tr w:rsidR="009B2A7A" w14:paraId="1DCD5A97" w14:textId="77777777" w:rsidTr="008D7B5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2630E03" w14:textId="77777777" w:rsidR="009B2A7A" w:rsidRDefault="00E57467" w:rsidP="008D7B5E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Provider Response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D1D72E3" w14:textId="77777777" w:rsidR="009B2A7A" w:rsidRPr="00051747" w:rsidRDefault="009B2A7A" w:rsidP="00E57467">
            <w:pPr>
              <w:jc w:val="both"/>
            </w:pPr>
          </w:p>
        </w:tc>
      </w:tr>
    </w:tbl>
    <w:p w14:paraId="6A190A86" w14:textId="77777777" w:rsidR="00554B50" w:rsidRPr="00554B50" w:rsidRDefault="00554B50" w:rsidP="00554B50">
      <w:pPr>
        <w:pStyle w:val="BodyText"/>
      </w:pPr>
    </w:p>
    <w:p w14:paraId="5DB5B54F" w14:textId="77777777" w:rsidR="003B78A7" w:rsidRDefault="00554B50" w:rsidP="005368FE">
      <w:pPr>
        <w:pStyle w:val="Heading1Numbered"/>
        <w:numPr>
          <w:ilvl w:val="2"/>
          <w:numId w:val="20"/>
        </w:numPr>
        <w:jc w:val="both"/>
      </w:pPr>
      <w:r>
        <w:t>Confirmation of Capability</w:t>
      </w:r>
      <w:r w:rsidR="004C7C6A" w:rsidRPr="004C7C6A">
        <w:t xml:space="preserve"> </w:t>
      </w:r>
      <w:r w:rsidR="004C7C6A">
        <w:t>– OEM Report</w:t>
      </w: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3B78A7" w14:paraId="309DC9C2" w14:textId="77777777" w:rsidTr="008D7B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1EF9707E" w14:textId="77777777" w:rsidR="003B78A7" w:rsidRDefault="003B78A7" w:rsidP="008D7B5E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625D4E9D" w14:textId="57CB566B" w:rsidR="003B78A7" w:rsidRPr="00051747" w:rsidRDefault="00554B50" w:rsidP="008D7B5E">
            <w:pPr>
              <w:jc w:val="both"/>
              <w:rPr>
                <w:b/>
              </w:rPr>
            </w:pPr>
            <w:r w:rsidRPr="00051747">
              <w:t>D</w:t>
            </w:r>
            <w:r w:rsidR="003B78A7" w:rsidRPr="00051747">
              <w:t>edicated report developed</w:t>
            </w:r>
            <w:r w:rsidRPr="00051747">
              <w:t>/</w:t>
            </w:r>
            <w:r w:rsidR="003B78A7" w:rsidRPr="00051747">
              <w:t xml:space="preserve">issued by the relevant OEM confirming </w:t>
            </w:r>
            <w:r w:rsidR="005A5538">
              <w:t>ESR</w:t>
            </w:r>
            <w:r w:rsidR="003B78A7" w:rsidRPr="00051747">
              <w:t xml:space="preserve"> capability of the equipment/</w:t>
            </w:r>
            <w:r w:rsidR="008803F2" w:rsidRPr="00051747">
              <w:t>P</w:t>
            </w:r>
            <w:r w:rsidR="003B78A7" w:rsidRPr="00051747">
              <w:t>lant (backed up with physical or simulated evidence)</w:t>
            </w:r>
            <w:r w:rsidR="005A5538">
              <w:t>.</w:t>
            </w:r>
          </w:p>
        </w:tc>
      </w:tr>
      <w:tr w:rsidR="003B78A7" w14:paraId="1B1D56B7" w14:textId="77777777" w:rsidTr="008D7B5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051E075" w14:textId="77777777" w:rsidR="003B78A7" w:rsidRDefault="003B60A0" w:rsidP="008D7B5E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01CBF32" w14:textId="77777777" w:rsidR="003B78A7" w:rsidRPr="00051747" w:rsidRDefault="003B78A7" w:rsidP="008D7B5E">
            <w:pPr>
              <w:jc w:val="both"/>
            </w:pPr>
            <w:r w:rsidRPr="00051747">
              <w:t>Report developed/issued by the OEM including</w:t>
            </w:r>
            <w:r w:rsidR="00CE3DF9" w:rsidRPr="00051747">
              <w:t xml:space="preserve"> and detailing</w:t>
            </w:r>
            <w:r w:rsidRPr="00051747">
              <w:t>, as a minimum:</w:t>
            </w:r>
          </w:p>
          <w:p w14:paraId="79DFC112" w14:textId="1CC52EBA" w:rsidR="003B78A7" w:rsidRPr="00051747" w:rsidRDefault="003B78A7" w:rsidP="005368FE">
            <w:pPr>
              <w:pStyle w:val="ListParagraph"/>
              <w:numPr>
                <w:ilvl w:val="0"/>
                <w:numId w:val="17"/>
              </w:numPr>
              <w:ind w:left="371" w:hanging="283"/>
              <w:jc w:val="both"/>
            </w:pPr>
            <w:r w:rsidRPr="00051747">
              <w:t>Confirmation of</w:t>
            </w:r>
            <w:r w:rsidR="005A5538">
              <w:t xml:space="preserve"> restoration</w:t>
            </w:r>
            <w:r w:rsidRPr="00051747">
              <w:t xml:space="preserve"> Capability, Operation and Control of the </w:t>
            </w:r>
            <w:r w:rsidR="007D4D2F" w:rsidRPr="00051747">
              <w:t xml:space="preserve">relevant </w:t>
            </w:r>
            <w:r w:rsidR="00CD1230" w:rsidRPr="00051747">
              <w:t xml:space="preserve">OEM’s </w:t>
            </w:r>
            <w:r w:rsidR="00276D70" w:rsidRPr="00051747">
              <w:t>equipment.</w:t>
            </w:r>
          </w:p>
          <w:p w14:paraId="17FEBC90" w14:textId="77777777" w:rsidR="003B78A7" w:rsidRPr="00051747" w:rsidRDefault="003B78A7" w:rsidP="005368FE">
            <w:pPr>
              <w:pStyle w:val="ListParagraph"/>
              <w:numPr>
                <w:ilvl w:val="0"/>
                <w:numId w:val="17"/>
              </w:numPr>
              <w:ind w:left="371" w:hanging="283"/>
              <w:jc w:val="both"/>
            </w:pPr>
            <w:r w:rsidRPr="00051747">
              <w:t>Where applicable</w:t>
            </w:r>
            <w:r w:rsidR="00CD1230" w:rsidRPr="00051747">
              <w:t xml:space="preserve"> (*)</w:t>
            </w:r>
            <w:r w:rsidRPr="00051747">
              <w:t>:</w:t>
            </w:r>
          </w:p>
          <w:p w14:paraId="22949EE1" w14:textId="56C56F6D" w:rsidR="003B78A7" w:rsidRPr="00051747" w:rsidRDefault="003B78A7" w:rsidP="005368FE">
            <w:pPr>
              <w:pStyle w:val="ListParagraph"/>
              <w:numPr>
                <w:ilvl w:val="0"/>
                <w:numId w:val="18"/>
              </w:numPr>
              <w:ind w:left="655" w:hanging="284"/>
              <w:jc w:val="both"/>
            </w:pPr>
            <w:r w:rsidRPr="00051747">
              <w:t xml:space="preserve">Start-up power requirements and related profile, with any peak </w:t>
            </w:r>
            <w:r w:rsidR="00276D70" w:rsidRPr="00051747">
              <w:t>requirements.</w:t>
            </w:r>
          </w:p>
          <w:p w14:paraId="3A9FEAEA" w14:textId="07E24E65" w:rsidR="003B78A7" w:rsidRPr="00051747" w:rsidRDefault="00272337" w:rsidP="005368FE">
            <w:pPr>
              <w:pStyle w:val="ListParagraph"/>
              <w:numPr>
                <w:ilvl w:val="0"/>
                <w:numId w:val="18"/>
              </w:numPr>
              <w:ind w:left="655" w:hanging="284"/>
              <w:jc w:val="both"/>
            </w:pPr>
            <w:r w:rsidRPr="00051747">
              <w:t>T</w:t>
            </w:r>
            <w:r w:rsidR="003B78A7" w:rsidRPr="00051747">
              <w:t>ime</w:t>
            </w:r>
            <w:r w:rsidRPr="00051747">
              <w:t xml:space="preserve"> to C</w:t>
            </w:r>
            <w:r w:rsidR="003B78A7" w:rsidRPr="00051747">
              <w:t xml:space="preserve">onnect and start-up sequence in </w:t>
            </w:r>
            <w:r w:rsidR="00BE1EF3">
              <w:t>ESR</w:t>
            </w:r>
            <w:r w:rsidR="003B78A7" w:rsidRPr="00051747">
              <w:t xml:space="preserve"> mode (if variable, </w:t>
            </w:r>
            <w:proofErr w:type="gramStart"/>
            <w:r w:rsidR="003B78A7" w:rsidRPr="00051747">
              <w:t>e.g.</w:t>
            </w:r>
            <w:proofErr w:type="gramEnd"/>
            <w:r w:rsidR="003B78A7" w:rsidRPr="00051747">
              <w:t xml:space="preserve"> warmth state, detail accordingly);</w:t>
            </w:r>
          </w:p>
          <w:p w14:paraId="2403F04C" w14:textId="77777777" w:rsidR="00272337" w:rsidRPr="00051747" w:rsidRDefault="00272337" w:rsidP="005368FE">
            <w:pPr>
              <w:pStyle w:val="ListParagraph"/>
              <w:numPr>
                <w:ilvl w:val="0"/>
                <w:numId w:val="18"/>
              </w:numPr>
              <w:ind w:left="655" w:hanging="284"/>
              <w:jc w:val="both"/>
            </w:pPr>
            <w:r w:rsidRPr="00051747">
              <w:t>Energisation:</w:t>
            </w:r>
          </w:p>
          <w:p w14:paraId="46264C8E" w14:textId="58D19493" w:rsidR="00272337" w:rsidRPr="00051747" w:rsidRDefault="00272337" w:rsidP="005368FE">
            <w:pPr>
              <w:pStyle w:val="ListParagraph"/>
              <w:numPr>
                <w:ilvl w:val="0"/>
                <w:numId w:val="17"/>
              </w:numPr>
              <w:ind w:left="938" w:hanging="283"/>
              <w:jc w:val="both"/>
            </w:pPr>
            <w:r w:rsidRPr="00051747">
              <w:t xml:space="preserve">Reactive capability at various load points, including initial </w:t>
            </w:r>
            <w:r w:rsidR="00276D70" w:rsidRPr="00051747">
              <w:t>energisation.</w:t>
            </w:r>
          </w:p>
          <w:p w14:paraId="4653BF39" w14:textId="77777777" w:rsidR="003B60A0" w:rsidRPr="00051747" w:rsidRDefault="00272337" w:rsidP="005368FE">
            <w:pPr>
              <w:pStyle w:val="ListParagraph"/>
              <w:numPr>
                <w:ilvl w:val="0"/>
                <w:numId w:val="17"/>
              </w:numPr>
              <w:ind w:left="938" w:hanging="283"/>
              <w:jc w:val="both"/>
            </w:pPr>
            <w:r w:rsidRPr="00051747">
              <w:t xml:space="preserve">Any constraints around the energisation stage, namely the ability to withstand at </w:t>
            </w:r>
            <w:r w:rsidR="008803F2" w:rsidRPr="00051747">
              <w:t>(</w:t>
            </w:r>
            <w:r w:rsidRPr="00051747">
              <w:t>MVAr&gt;0 lead, MW=0 export</w:t>
            </w:r>
            <w:proofErr w:type="gramStart"/>
            <w:r w:rsidR="008803F2" w:rsidRPr="00051747">
              <w:t>)</w:t>
            </w:r>
            <w:r w:rsidRPr="00051747">
              <w:t>;</w:t>
            </w:r>
            <w:proofErr w:type="gramEnd"/>
            <w:r w:rsidRPr="00051747">
              <w:t xml:space="preserve"> </w:t>
            </w:r>
          </w:p>
          <w:p w14:paraId="15DBCD2B" w14:textId="77777777" w:rsidR="003B78A7" w:rsidRPr="00051747" w:rsidRDefault="003B78A7" w:rsidP="005368FE">
            <w:pPr>
              <w:pStyle w:val="ListParagraph"/>
              <w:numPr>
                <w:ilvl w:val="0"/>
                <w:numId w:val="18"/>
              </w:numPr>
              <w:ind w:left="655" w:hanging="284"/>
              <w:jc w:val="both"/>
            </w:pPr>
            <w:r w:rsidRPr="00051747">
              <w:t>Block Loading:</w:t>
            </w:r>
          </w:p>
          <w:p w14:paraId="2C5AADD5" w14:textId="578BFD95" w:rsidR="00272337" w:rsidRPr="00051747" w:rsidRDefault="00272337" w:rsidP="005368FE">
            <w:pPr>
              <w:pStyle w:val="ListParagraph"/>
              <w:numPr>
                <w:ilvl w:val="0"/>
                <w:numId w:val="17"/>
              </w:numPr>
              <w:ind w:left="938" w:hanging="283"/>
              <w:jc w:val="both"/>
            </w:pPr>
            <w:r w:rsidRPr="00051747">
              <w:t>Profile, full range: size of blocks, number of blocks, time(s) between blocks, any hold points/</w:t>
            </w:r>
            <w:r w:rsidR="00276D70" w:rsidRPr="00051747">
              <w:t>constraints.</w:t>
            </w:r>
            <w:r w:rsidRPr="00051747">
              <w:t xml:space="preserve"> </w:t>
            </w:r>
          </w:p>
          <w:p w14:paraId="2DCB9B99" w14:textId="2CDA5861" w:rsidR="00272337" w:rsidRPr="00051747" w:rsidRDefault="00272337" w:rsidP="005368FE">
            <w:pPr>
              <w:pStyle w:val="ListParagraph"/>
              <w:numPr>
                <w:ilvl w:val="0"/>
                <w:numId w:val="17"/>
              </w:numPr>
              <w:ind w:left="938" w:hanging="283"/>
              <w:jc w:val="both"/>
            </w:pPr>
            <w:r w:rsidRPr="00051747">
              <w:t xml:space="preserve">Requirements to achieve the Minimum Stable Operating </w:t>
            </w:r>
            <w:r w:rsidR="00276D70" w:rsidRPr="00051747">
              <w:t>Level.</w:t>
            </w:r>
          </w:p>
          <w:p w14:paraId="771D008A" w14:textId="3530B596" w:rsidR="00272337" w:rsidRPr="00051747" w:rsidRDefault="00272337" w:rsidP="005368FE">
            <w:pPr>
              <w:pStyle w:val="ListParagraph"/>
              <w:numPr>
                <w:ilvl w:val="0"/>
                <w:numId w:val="17"/>
              </w:numPr>
              <w:ind w:left="938" w:hanging="283"/>
              <w:jc w:val="both"/>
            </w:pPr>
            <w:r w:rsidRPr="00051747">
              <w:t>Any variation(s) due to equipment status</w:t>
            </w:r>
            <w:r w:rsidR="0041718A" w:rsidRPr="00051747">
              <w:t xml:space="preserve">, output level or energy/fuel </w:t>
            </w:r>
            <w:r w:rsidR="00276D70" w:rsidRPr="00051747">
              <w:t>supplies.</w:t>
            </w:r>
          </w:p>
          <w:p w14:paraId="2EAAA4AC" w14:textId="08BF80FD" w:rsidR="003B78A7" w:rsidRPr="00051747" w:rsidRDefault="00272337" w:rsidP="005368FE">
            <w:pPr>
              <w:pStyle w:val="ListParagraph"/>
              <w:numPr>
                <w:ilvl w:val="0"/>
                <w:numId w:val="18"/>
              </w:numPr>
              <w:ind w:left="655" w:hanging="284"/>
              <w:jc w:val="both"/>
            </w:pPr>
            <w:r w:rsidRPr="00051747">
              <w:t>Any differences</w:t>
            </w:r>
            <w:r w:rsidR="003B78A7" w:rsidRPr="00051747">
              <w:t xml:space="preserve"> </w:t>
            </w:r>
            <w:r w:rsidRPr="00051747">
              <w:t xml:space="preserve">between </w:t>
            </w:r>
            <w:r w:rsidR="00276D70" w:rsidRPr="00051747">
              <w:t>modules.</w:t>
            </w:r>
          </w:p>
          <w:p w14:paraId="637C1BBF" w14:textId="746C28A0" w:rsidR="008803F2" w:rsidRPr="00051747" w:rsidRDefault="0041718A" w:rsidP="005368FE">
            <w:pPr>
              <w:pStyle w:val="ListParagraph"/>
              <w:numPr>
                <w:ilvl w:val="0"/>
                <w:numId w:val="17"/>
              </w:numPr>
              <w:ind w:left="371" w:hanging="283"/>
              <w:jc w:val="both"/>
            </w:pPr>
            <w:r w:rsidRPr="00051747">
              <w:t>R</w:t>
            </w:r>
            <w:r w:rsidR="008803F2" w:rsidRPr="00051747">
              <w:t xml:space="preserve">eference list for similar main equipment/Plant undertaking </w:t>
            </w:r>
            <w:r w:rsidR="00BE1EF3">
              <w:t>ESR</w:t>
            </w:r>
            <w:r w:rsidR="008803F2" w:rsidRPr="00051747">
              <w:t xml:space="preserve"> provision.</w:t>
            </w:r>
          </w:p>
          <w:p w14:paraId="2B41503F" w14:textId="77777777" w:rsidR="00CD1230" w:rsidRPr="00051747" w:rsidRDefault="00CD1230" w:rsidP="00CD1230">
            <w:pPr>
              <w:jc w:val="both"/>
            </w:pPr>
          </w:p>
          <w:p w14:paraId="03B03CE9" w14:textId="77777777" w:rsidR="00CD1230" w:rsidRPr="00051747" w:rsidRDefault="00CD1230" w:rsidP="00CD1230">
            <w:pPr>
              <w:jc w:val="both"/>
              <w:rPr>
                <w:i/>
              </w:rPr>
            </w:pPr>
            <w:r w:rsidRPr="00051747">
              <w:rPr>
                <w:i/>
              </w:rPr>
              <w:t xml:space="preserve">(*) OEM’s equipment. </w:t>
            </w:r>
          </w:p>
        </w:tc>
      </w:tr>
      <w:tr w:rsidR="00445745" w14:paraId="46983902" w14:textId="77777777" w:rsidTr="00445745">
        <w:tc>
          <w:tcPr>
            <w:tcW w:w="1985" w:type="dxa"/>
            <w:tcBorders>
              <w:right w:val="single" w:sz="4" w:space="0" w:color="F26522" w:themeColor="accent1"/>
            </w:tcBorders>
          </w:tcPr>
          <w:p w14:paraId="36E6E386" w14:textId="77777777" w:rsidR="00445745" w:rsidRDefault="00445745" w:rsidP="00B55040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Provider Response</w:t>
            </w:r>
          </w:p>
        </w:tc>
        <w:tc>
          <w:tcPr>
            <w:tcW w:w="7372" w:type="dxa"/>
            <w:tcBorders>
              <w:left w:val="single" w:sz="4" w:space="0" w:color="F26522" w:themeColor="accent1"/>
            </w:tcBorders>
          </w:tcPr>
          <w:p w14:paraId="52B360DF" w14:textId="77777777" w:rsidR="00445745" w:rsidRPr="00051747" w:rsidRDefault="00445745" w:rsidP="00B55040">
            <w:pPr>
              <w:jc w:val="both"/>
            </w:pPr>
          </w:p>
        </w:tc>
      </w:tr>
    </w:tbl>
    <w:p w14:paraId="693EBBF3" w14:textId="77777777" w:rsidR="00BD09C8" w:rsidRDefault="00BD09C8">
      <w:r>
        <w:br w:type="page"/>
      </w:r>
    </w:p>
    <w:p w14:paraId="0E29A089" w14:textId="3A081E0E" w:rsidR="004C7C6A" w:rsidRDefault="004C7C6A" w:rsidP="005368FE">
      <w:pPr>
        <w:pStyle w:val="Heading1Numbered"/>
        <w:numPr>
          <w:ilvl w:val="2"/>
          <w:numId w:val="20"/>
        </w:numPr>
        <w:jc w:val="both"/>
      </w:pPr>
      <w:r>
        <w:lastRenderedPageBreak/>
        <w:t xml:space="preserve">Confirmation of Capability – </w:t>
      </w:r>
      <w:r w:rsidR="000F3A33">
        <w:t>ESR</w:t>
      </w:r>
      <w:r>
        <w:t xml:space="preserve"> Auxiliary Unit(s)</w:t>
      </w: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4C7C6A" w14:paraId="522246EF" w14:textId="77777777" w:rsidTr="00412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6E0061B0" w14:textId="77777777" w:rsidR="004C7C6A" w:rsidRDefault="004C7C6A" w:rsidP="004124ED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1FB08670" w14:textId="5A1D9B83" w:rsidR="004C7C6A" w:rsidRPr="00051747" w:rsidRDefault="00244CDF" w:rsidP="004124ED">
            <w:pPr>
              <w:jc w:val="both"/>
              <w:rPr>
                <w:b/>
              </w:rPr>
            </w:pPr>
            <w:r w:rsidRPr="00051747">
              <w:t xml:space="preserve">The full F2 Report submitted by the tenderer shall confirm (backed up with physical, simulated and/or written evidence) the </w:t>
            </w:r>
            <w:r w:rsidR="005A5538">
              <w:t>ESR</w:t>
            </w:r>
            <w:r w:rsidRPr="00051747">
              <w:t xml:space="preserve"> capability of the </w:t>
            </w:r>
            <w:r w:rsidR="005A5538">
              <w:t>ESR</w:t>
            </w:r>
            <w:r w:rsidRPr="00051747">
              <w:t xml:space="preserve"> Auxiliary Unit(s).</w:t>
            </w:r>
          </w:p>
        </w:tc>
      </w:tr>
      <w:tr w:rsidR="004C7C6A" w14:paraId="0843FB54" w14:textId="77777777" w:rsidTr="004124ED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8082D46" w14:textId="77777777" w:rsidR="004C7C6A" w:rsidRDefault="004C7C6A" w:rsidP="004124ED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Contents</w:t>
            </w:r>
          </w:p>
          <w:p w14:paraId="3CBD7FDE" w14:textId="6A7E62E4" w:rsidR="00433531" w:rsidRDefault="00433531" w:rsidP="004124ED"/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C90194E" w14:textId="5B86D623" w:rsidR="005A5538" w:rsidRDefault="005A5538" w:rsidP="005A5538">
            <w:pPr>
              <w:jc w:val="both"/>
            </w:pPr>
            <w:r>
              <w:t>Where applicable</w:t>
            </w:r>
          </w:p>
          <w:p w14:paraId="4CDF2C48" w14:textId="53CD8FFB" w:rsidR="004C7C6A" w:rsidRPr="00051747" w:rsidRDefault="004C7C6A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 xml:space="preserve">Capability to start without external supplies and provide sufficient power output to enable the delivery of the contracted </w:t>
            </w:r>
            <w:r w:rsidR="00276D70" w:rsidRPr="00051747">
              <w:t>service.</w:t>
            </w:r>
          </w:p>
          <w:p w14:paraId="28B2AEAF" w14:textId="0FE05DC0" w:rsidR="004C7C6A" w:rsidRPr="00051747" w:rsidRDefault="004C7C6A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 xml:space="preserve">Start-up times, </w:t>
            </w:r>
            <w:r w:rsidR="00276D70" w:rsidRPr="00051747">
              <w:t>reliability,</w:t>
            </w:r>
            <w:r w:rsidRPr="00051747">
              <w:t xml:space="preserve"> and </w:t>
            </w:r>
            <w:r w:rsidR="00276D70" w:rsidRPr="00051747">
              <w:t>availability.</w:t>
            </w:r>
          </w:p>
          <w:p w14:paraId="69E431F5" w14:textId="77777777" w:rsidR="004C7C6A" w:rsidRPr="00051747" w:rsidRDefault="004C7C6A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 xml:space="preserve">Resilience of supply (run continuously for </w:t>
            </w:r>
            <w:r w:rsidRPr="00051747">
              <w:rPr>
                <w:rFonts w:cstheme="minorHAnsi"/>
              </w:rPr>
              <w:t>≥</w:t>
            </w:r>
            <w:r w:rsidRPr="00051747">
              <w:t>3 days</w:t>
            </w:r>
            <w:proofErr w:type="gramStart"/>
            <w:r w:rsidRPr="00051747">
              <w:t>);</w:t>
            </w:r>
            <w:proofErr w:type="gramEnd"/>
          </w:p>
          <w:p w14:paraId="725D81A8" w14:textId="77777777" w:rsidR="004C7C6A" w:rsidRPr="00051747" w:rsidRDefault="004C7C6A" w:rsidP="005368FE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051747">
              <w:t>Auxiliary Single Line Diagram.</w:t>
            </w:r>
          </w:p>
        </w:tc>
      </w:tr>
      <w:tr w:rsidR="00445745" w14:paraId="55F3C1F7" w14:textId="77777777" w:rsidTr="00445745">
        <w:tc>
          <w:tcPr>
            <w:tcW w:w="1985" w:type="dxa"/>
            <w:tcBorders>
              <w:right w:val="single" w:sz="4" w:space="0" w:color="F26522" w:themeColor="accent1"/>
            </w:tcBorders>
          </w:tcPr>
          <w:p w14:paraId="4185D37E" w14:textId="77777777" w:rsidR="00445745" w:rsidRDefault="00445745" w:rsidP="00B55040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Provider Response</w:t>
            </w:r>
          </w:p>
        </w:tc>
        <w:tc>
          <w:tcPr>
            <w:tcW w:w="7372" w:type="dxa"/>
            <w:tcBorders>
              <w:left w:val="single" w:sz="4" w:space="0" w:color="F26522" w:themeColor="accent1"/>
            </w:tcBorders>
          </w:tcPr>
          <w:p w14:paraId="460F59C5" w14:textId="77777777" w:rsidR="00445745" w:rsidRPr="00051747" w:rsidRDefault="00445745" w:rsidP="00B55040">
            <w:pPr>
              <w:jc w:val="both"/>
            </w:pPr>
          </w:p>
        </w:tc>
      </w:tr>
    </w:tbl>
    <w:p w14:paraId="24D691BE" w14:textId="4C0BC811" w:rsidR="004C7C6A" w:rsidRDefault="000F3A33" w:rsidP="005368FE">
      <w:pPr>
        <w:pStyle w:val="Heading1Numbered"/>
        <w:numPr>
          <w:ilvl w:val="2"/>
          <w:numId w:val="20"/>
        </w:numPr>
        <w:jc w:val="both"/>
      </w:pPr>
      <w:r>
        <w:t>ESR</w:t>
      </w:r>
      <w:r w:rsidR="004C7C6A">
        <w:t xml:space="preserve"> Operation</w:t>
      </w: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4C7C6A" w14:paraId="65277C2B" w14:textId="77777777" w:rsidTr="00412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56A1F66C" w14:textId="77777777" w:rsidR="004C7C6A" w:rsidRDefault="004C7C6A" w:rsidP="004124ED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1E776341" w14:textId="1BCEBFEB" w:rsidR="004C7C6A" w:rsidRPr="00051747" w:rsidRDefault="00244CDF" w:rsidP="004124ED">
            <w:pPr>
              <w:jc w:val="both"/>
              <w:rPr>
                <w:b/>
              </w:rPr>
            </w:pPr>
            <w:r w:rsidRPr="00051747">
              <w:t xml:space="preserve">The full F2 Report submitted by the tenderer shall include, backed up with physical, simulated and/or written evidence, the details around how will the </w:t>
            </w:r>
            <w:r w:rsidR="005A5538">
              <w:t>ESR</w:t>
            </w:r>
            <w:r w:rsidRPr="00051747">
              <w:t xml:space="preserve"> Service be delivered.</w:t>
            </w:r>
          </w:p>
        </w:tc>
      </w:tr>
      <w:tr w:rsidR="004C7C6A" w14:paraId="54F8414C" w14:textId="77777777" w:rsidTr="004124ED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6D3695E" w14:textId="77777777" w:rsidR="004C7C6A" w:rsidRDefault="004C7C6A" w:rsidP="004124ED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78DADB38" w14:textId="581A736A" w:rsidR="005A5538" w:rsidRDefault="005A5538" w:rsidP="005A5538">
            <w:pPr>
              <w:jc w:val="both"/>
            </w:pPr>
            <w:r>
              <w:t xml:space="preserve">Where applicable, </w:t>
            </w:r>
          </w:p>
          <w:p w14:paraId="677E1CA1" w14:textId="2020F1F0" w:rsidR="004C7C6A" w:rsidRPr="00051747" w:rsidRDefault="004C7C6A" w:rsidP="005368FE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Conceptual design, control philosophy, supporting study work and any physical testing requirements to confirm </w:t>
            </w:r>
            <w:r w:rsidR="00276D70" w:rsidRPr="00051747">
              <w:t>capability.</w:t>
            </w:r>
          </w:p>
          <w:p w14:paraId="6C1D3263" w14:textId="593F6283" w:rsidR="004C7C6A" w:rsidRPr="00051747" w:rsidRDefault="004C7C6A" w:rsidP="005368FE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Control Room and Plant staffing summary and review to achieve the 24h availability of the </w:t>
            </w:r>
            <w:r w:rsidR="00276D70" w:rsidRPr="00051747">
              <w:t>Service.</w:t>
            </w:r>
          </w:p>
          <w:p w14:paraId="3723015E" w14:textId="77777777" w:rsidR="004C7C6A" w:rsidRPr="00051747" w:rsidRDefault="004C7C6A" w:rsidP="005368FE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>System’s resilience review noting Telecommunication and system’s resilience to a blackout event, and their physical location.</w:t>
            </w:r>
          </w:p>
        </w:tc>
      </w:tr>
      <w:tr w:rsidR="00445745" w14:paraId="45F700CE" w14:textId="77777777" w:rsidTr="00445745">
        <w:tc>
          <w:tcPr>
            <w:tcW w:w="1985" w:type="dxa"/>
            <w:tcBorders>
              <w:right w:val="single" w:sz="4" w:space="0" w:color="F26522" w:themeColor="accent1"/>
            </w:tcBorders>
          </w:tcPr>
          <w:p w14:paraId="70625A55" w14:textId="77777777" w:rsidR="00445745" w:rsidRDefault="00445745" w:rsidP="00B55040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Provider Response</w:t>
            </w:r>
          </w:p>
        </w:tc>
        <w:tc>
          <w:tcPr>
            <w:tcW w:w="7372" w:type="dxa"/>
            <w:tcBorders>
              <w:left w:val="single" w:sz="4" w:space="0" w:color="F26522" w:themeColor="accent1"/>
            </w:tcBorders>
          </w:tcPr>
          <w:p w14:paraId="083074A1" w14:textId="77777777" w:rsidR="00445745" w:rsidRPr="00051747" w:rsidRDefault="00445745" w:rsidP="00B55040">
            <w:pPr>
              <w:jc w:val="both"/>
            </w:pPr>
          </w:p>
        </w:tc>
      </w:tr>
    </w:tbl>
    <w:p w14:paraId="0C7A4194" w14:textId="0FD1DEFD" w:rsidR="004C7C6A" w:rsidRDefault="000F3A33" w:rsidP="005368FE">
      <w:pPr>
        <w:pStyle w:val="Heading1Numbered"/>
        <w:numPr>
          <w:ilvl w:val="2"/>
          <w:numId w:val="20"/>
        </w:numPr>
        <w:jc w:val="both"/>
      </w:pPr>
      <w:r>
        <w:t>ESR</w:t>
      </w:r>
      <w:r w:rsidR="004C7C6A">
        <w:t xml:space="preserve"> Equipment Schedules (Existing and New)</w:t>
      </w: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4C7C6A" w14:paraId="526A41D2" w14:textId="77777777" w:rsidTr="004124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493284E9" w14:textId="77777777" w:rsidR="004C7C6A" w:rsidRDefault="004C7C6A" w:rsidP="004124ED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3221B6B0" w14:textId="7F1D6D4D" w:rsidR="004C7C6A" w:rsidRPr="00051747" w:rsidRDefault="00244CDF" w:rsidP="004124ED">
            <w:pPr>
              <w:jc w:val="both"/>
              <w:rPr>
                <w:b/>
              </w:rPr>
            </w:pPr>
            <w:r w:rsidRPr="00051747">
              <w:t xml:space="preserve">The full F2 Report submitted by the tenderer shall include, backed up with physical, simulated and/or written evidence, the details around the works / physical adaptations / equipment / assessments needed to deliver the </w:t>
            </w:r>
            <w:r w:rsidR="005A5538">
              <w:t>ESR</w:t>
            </w:r>
            <w:r w:rsidR="009B40EB" w:rsidRPr="00051747">
              <w:t xml:space="preserve"> </w:t>
            </w:r>
            <w:r w:rsidRPr="00051747">
              <w:t>Service.</w:t>
            </w:r>
          </w:p>
        </w:tc>
      </w:tr>
      <w:tr w:rsidR="004C7C6A" w14:paraId="7CA9E027" w14:textId="77777777" w:rsidTr="004124ED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16C04DB" w14:textId="77777777" w:rsidR="004C7C6A" w:rsidRDefault="004C7C6A" w:rsidP="004124ED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8033128" w14:textId="482CE110" w:rsidR="004C7C6A" w:rsidRPr="00051747" w:rsidRDefault="004C7C6A" w:rsidP="005368FE">
            <w:pPr>
              <w:pStyle w:val="ListParagraph"/>
              <w:numPr>
                <w:ilvl w:val="0"/>
                <w:numId w:val="25"/>
              </w:numPr>
              <w:ind w:left="513" w:hanging="425"/>
              <w:jc w:val="both"/>
            </w:pPr>
            <w:r w:rsidRPr="00051747">
              <w:t xml:space="preserve">Existing to include assessment of fitness for purpose and any modifications </w:t>
            </w:r>
            <w:r w:rsidR="00276D70" w:rsidRPr="00051747">
              <w:t>required.</w:t>
            </w:r>
          </w:p>
          <w:p w14:paraId="6D819F13" w14:textId="270F432E" w:rsidR="004C7C6A" w:rsidRPr="00051747" w:rsidRDefault="004C7C6A" w:rsidP="005368FE">
            <w:pPr>
              <w:pStyle w:val="ListParagraph"/>
              <w:numPr>
                <w:ilvl w:val="0"/>
                <w:numId w:val="25"/>
              </w:numPr>
              <w:ind w:left="513" w:hanging="425"/>
              <w:jc w:val="both"/>
            </w:pPr>
            <w:r w:rsidRPr="00051747">
              <w:t xml:space="preserve">New to include general specifications and </w:t>
            </w:r>
            <w:r w:rsidR="00276D70" w:rsidRPr="00051747">
              <w:t>scope.</w:t>
            </w:r>
          </w:p>
          <w:p w14:paraId="20C08A0D" w14:textId="70A69D80" w:rsidR="004C7C6A" w:rsidRPr="00051747" w:rsidRDefault="004C7C6A" w:rsidP="005368FE">
            <w:pPr>
              <w:pStyle w:val="ListParagraph"/>
              <w:numPr>
                <w:ilvl w:val="0"/>
                <w:numId w:val="25"/>
              </w:numPr>
              <w:ind w:left="513" w:hanging="425"/>
              <w:jc w:val="both"/>
            </w:pPr>
            <w:r w:rsidRPr="00051747">
              <w:t xml:space="preserve">Civil installations </w:t>
            </w:r>
            <w:r w:rsidR="00276D70" w:rsidRPr="00051747">
              <w:t>required.</w:t>
            </w:r>
          </w:p>
          <w:p w14:paraId="157CC8CD" w14:textId="147095FD" w:rsidR="004C7C6A" w:rsidRPr="00051747" w:rsidRDefault="004C7C6A" w:rsidP="005368FE">
            <w:pPr>
              <w:pStyle w:val="ListParagraph"/>
              <w:numPr>
                <w:ilvl w:val="0"/>
                <w:numId w:val="25"/>
              </w:numPr>
              <w:ind w:left="513" w:hanging="425"/>
              <w:jc w:val="both"/>
            </w:pPr>
            <w:r w:rsidRPr="00051747">
              <w:t xml:space="preserve">Balance of Plant General </w:t>
            </w:r>
            <w:r w:rsidR="00276D70" w:rsidRPr="00051747">
              <w:t>Arrangements.</w:t>
            </w:r>
          </w:p>
          <w:p w14:paraId="6F301D29" w14:textId="77777777" w:rsidR="004C7C6A" w:rsidRPr="00051747" w:rsidRDefault="004C7C6A" w:rsidP="005368FE">
            <w:pPr>
              <w:pStyle w:val="ListParagraph"/>
              <w:numPr>
                <w:ilvl w:val="0"/>
                <w:numId w:val="25"/>
              </w:numPr>
              <w:ind w:left="513" w:hanging="425"/>
              <w:jc w:val="both"/>
            </w:pPr>
            <w:r w:rsidRPr="00051747">
              <w:t>Single Line Diagrams.</w:t>
            </w:r>
          </w:p>
          <w:p w14:paraId="23DBB30B" w14:textId="77777777" w:rsidR="00244CDF" w:rsidRPr="00051747" w:rsidRDefault="00244CDF" w:rsidP="00B52450">
            <w:pPr>
              <w:jc w:val="both"/>
            </w:pPr>
          </w:p>
          <w:p w14:paraId="3E707E4B" w14:textId="77777777" w:rsidR="004C7C6A" w:rsidRPr="00051747" w:rsidRDefault="004C7C6A" w:rsidP="00B52450">
            <w:pPr>
              <w:jc w:val="both"/>
            </w:pPr>
            <w:r w:rsidRPr="00051747">
              <w:t>Typically includes Auxiliary generation and starting equipment, electrical interconnections, fuel system, Main and Aux control systems, protection – energising and synchronising systems.</w:t>
            </w:r>
          </w:p>
        </w:tc>
      </w:tr>
      <w:tr w:rsidR="00445745" w14:paraId="191357E1" w14:textId="77777777" w:rsidTr="00445745">
        <w:tc>
          <w:tcPr>
            <w:tcW w:w="1985" w:type="dxa"/>
            <w:tcBorders>
              <w:right w:val="single" w:sz="4" w:space="0" w:color="F26522" w:themeColor="accent1"/>
            </w:tcBorders>
          </w:tcPr>
          <w:p w14:paraId="45C2F6B3" w14:textId="77777777" w:rsidR="00445745" w:rsidRDefault="00445745" w:rsidP="00B55040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>Provider Response</w:t>
            </w:r>
          </w:p>
        </w:tc>
        <w:tc>
          <w:tcPr>
            <w:tcW w:w="7372" w:type="dxa"/>
            <w:tcBorders>
              <w:left w:val="single" w:sz="4" w:space="0" w:color="F26522" w:themeColor="accent1"/>
            </w:tcBorders>
          </w:tcPr>
          <w:p w14:paraId="637EF895" w14:textId="77777777" w:rsidR="00445745" w:rsidRPr="00051747" w:rsidRDefault="00445745" w:rsidP="00B55040">
            <w:pPr>
              <w:jc w:val="both"/>
            </w:pPr>
          </w:p>
        </w:tc>
      </w:tr>
    </w:tbl>
    <w:p w14:paraId="2A1D56BE" w14:textId="1C3FF747" w:rsidR="007E1EF0" w:rsidRDefault="007618D3" w:rsidP="00CF1BD6">
      <w:pPr>
        <w:pStyle w:val="PageTitle"/>
        <w:framePr w:wrap="notBeside"/>
        <w:numPr>
          <w:ilvl w:val="1"/>
          <w:numId w:val="20"/>
        </w:numPr>
      </w:pPr>
      <w:bookmarkStart w:id="2" w:name="_Toc107397801"/>
      <w:r>
        <w:lastRenderedPageBreak/>
        <w:t xml:space="preserve"> </w:t>
      </w:r>
      <w:r w:rsidR="008A075A">
        <w:t>Implementation Strategy</w:t>
      </w:r>
      <w:bookmarkEnd w:id="2"/>
    </w:p>
    <w:p w14:paraId="15510FD8" w14:textId="54CCA61F" w:rsidR="00CF1BD6" w:rsidRDefault="00CF1BD6" w:rsidP="00CF1BD6">
      <w:pPr>
        <w:pStyle w:val="BodyText"/>
        <w:ind w:left="720"/>
      </w:pPr>
    </w:p>
    <w:p w14:paraId="4A0DDBC9" w14:textId="77777777" w:rsidR="00CF1BD6" w:rsidRPr="00CF1BD6" w:rsidRDefault="00CF1BD6" w:rsidP="00CF1BD6">
      <w:pPr>
        <w:pStyle w:val="BodyText"/>
        <w:ind w:left="720"/>
      </w:pP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626085" w14:paraId="7B9AD1BC" w14:textId="77777777" w:rsidTr="003C18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42957537" w14:textId="77777777" w:rsidR="00626085" w:rsidRDefault="00626085" w:rsidP="003C187E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7ABE8FAD" w14:textId="77777777" w:rsidR="00626085" w:rsidRPr="00051747" w:rsidRDefault="00626085" w:rsidP="003C187E">
            <w:pPr>
              <w:jc w:val="both"/>
              <w:rPr>
                <w:b/>
              </w:rPr>
            </w:pPr>
            <w:r w:rsidRPr="00051747">
              <w:t xml:space="preserve">To include an implementation strategy in the F2 report. </w:t>
            </w:r>
          </w:p>
        </w:tc>
      </w:tr>
      <w:tr w:rsidR="00626085" w14:paraId="08AAB1B8" w14:textId="77777777" w:rsidTr="003C187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D6D1D18" w14:textId="77777777" w:rsidR="00626085" w:rsidRDefault="00626085" w:rsidP="003C187E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E020F0A" w14:textId="77777777" w:rsidR="00626085" w:rsidRPr="00051747" w:rsidRDefault="00626085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Build/Install programme plan, including the steps and timelines for the following </w:t>
            </w:r>
          </w:p>
          <w:p w14:paraId="1007CD13" w14:textId="77777777" w:rsidR="00626085" w:rsidRPr="00051747" w:rsidRDefault="00626085" w:rsidP="00BD09C8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1747">
              <w:t>Consents</w:t>
            </w:r>
          </w:p>
          <w:p w14:paraId="16530E99" w14:textId="77777777" w:rsidR="00626085" w:rsidRPr="00051747" w:rsidRDefault="00626085" w:rsidP="00BD09C8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1747">
              <w:t>Purchasing</w:t>
            </w:r>
          </w:p>
          <w:p w14:paraId="0B63BC02" w14:textId="77777777" w:rsidR="00626085" w:rsidRPr="00051747" w:rsidRDefault="00626085" w:rsidP="00BD09C8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1747">
              <w:t>Commissioning</w:t>
            </w:r>
          </w:p>
          <w:p w14:paraId="0C304397" w14:textId="77777777" w:rsidR="00626085" w:rsidRPr="00051747" w:rsidRDefault="00626085" w:rsidP="00BD09C8">
            <w:pPr>
              <w:pStyle w:val="ListParagraph"/>
              <w:numPr>
                <w:ilvl w:val="0"/>
                <w:numId w:val="32"/>
              </w:numPr>
              <w:jc w:val="both"/>
            </w:pPr>
            <w:r w:rsidRPr="00051747">
              <w:t>Outage requirements</w:t>
            </w:r>
          </w:p>
          <w:p w14:paraId="329DA770" w14:textId="0BFC8047" w:rsidR="00626085" w:rsidRPr="00051747" w:rsidRDefault="00626085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Consents - Please explain what will be required, and how </w:t>
            </w:r>
            <w:r w:rsidR="00276D70" w:rsidRPr="00276D70">
              <w:rPr>
                <w:strike/>
              </w:rPr>
              <w:t>you</w:t>
            </w:r>
            <w:r w:rsidRPr="00051747">
              <w:t xml:space="preserve"> will ensure that at the time of F2 report submission, </w:t>
            </w:r>
            <w:r w:rsidR="000F3A33">
              <w:t xml:space="preserve">you </w:t>
            </w:r>
            <w:r w:rsidRPr="00051747">
              <w:t xml:space="preserve">will </w:t>
            </w:r>
            <w:r w:rsidR="009E7F19">
              <w:t xml:space="preserve">be </w:t>
            </w:r>
            <w:r w:rsidRPr="00051747">
              <w:t xml:space="preserve">confident that any necessary consents or permits will be in place </w:t>
            </w:r>
            <w:proofErr w:type="gramStart"/>
            <w:r w:rsidRPr="00051747">
              <w:t>in order to</w:t>
            </w:r>
            <w:proofErr w:type="gramEnd"/>
            <w:r w:rsidRPr="00051747">
              <w:t xml:space="preserve"> achieve the delivery timeline.</w:t>
            </w:r>
          </w:p>
          <w:p w14:paraId="652D3446" w14:textId="77777777" w:rsidR="00626085" w:rsidRPr="00051747" w:rsidRDefault="00626085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Operation and Maintenance Strategy </w:t>
            </w:r>
          </w:p>
          <w:p w14:paraId="123B514D" w14:textId="77777777" w:rsidR="00626085" w:rsidRPr="00051747" w:rsidRDefault="00626085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>Risks</w:t>
            </w:r>
          </w:p>
        </w:tc>
      </w:tr>
      <w:tr w:rsidR="00626085" w14:paraId="775FCB83" w14:textId="77777777" w:rsidTr="003C187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1770A2E8" w14:textId="77777777" w:rsidR="00626085" w:rsidRDefault="00626085" w:rsidP="003C187E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 xml:space="preserve">Provider Response 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726678F" w14:textId="77777777" w:rsidR="00626085" w:rsidRPr="00051747" w:rsidRDefault="00626085" w:rsidP="00626085">
            <w:pPr>
              <w:pStyle w:val="BodyText"/>
              <w:jc w:val="both"/>
            </w:pPr>
          </w:p>
        </w:tc>
      </w:tr>
    </w:tbl>
    <w:p w14:paraId="310F5661" w14:textId="77777777" w:rsidR="00626085" w:rsidRDefault="00626085" w:rsidP="00A92CD9">
      <w:pPr>
        <w:pStyle w:val="BodyText"/>
        <w:jc w:val="both"/>
      </w:pPr>
    </w:p>
    <w:p w14:paraId="192150F2" w14:textId="77777777" w:rsidR="007E1EF0" w:rsidRDefault="009D189B" w:rsidP="009D189B">
      <w:r>
        <w:br w:type="page"/>
      </w:r>
    </w:p>
    <w:p w14:paraId="2E2B169A" w14:textId="5323CB0E" w:rsidR="007E1EF0" w:rsidRDefault="007618D3" w:rsidP="00CF1BD6">
      <w:pPr>
        <w:pStyle w:val="PageTitle"/>
        <w:framePr w:wrap="notBeside"/>
        <w:numPr>
          <w:ilvl w:val="1"/>
          <w:numId w:val="20"/>
        </w:numPr>
      </w:pPr>
      <w:bookmarkStart w:id="3" w:name="_Toc107397802"/>
      <w:r>
        <w:lastRenderedPageBreak/>
        <w:t xml:space="preserve"> </w:t>
      </w:r>
      <w:r w:rsidR="008A075A">
        <w:t>Commercial Offer</w:t>
      </w:r>
      <w:r w:rsidR="00CF1BD6">
        <w:t xml:space="preserve"> for </w:t>
      </w:r>
      <w:r w:rsidR="000F3A33">
        <w:t>ESR</w:t>
      </w:r>
      <w:r w:rsidR="00CF1BD6">
        <w:t xml:space="preserve"> Service</w:t>
      </w:r>
      <w:bookmarkEnd w:id="3"/>
    </w:p>
    <w:p w14:paraId="17F1F2D0" w14:textId="5EF6619C" w:rsidR="00CF1BD6" w:rsidRDefault="00CF1BD6" w:rsidP="00CF1BD6">
      <w:pPr>
        <w:pStyle w:val="BodyText"/>
      </w:pPr>
    </w:p>
    <w:p w14:paraId="2D0B7590" w14:textId="77777777" w:rsidR="00CF1BD6" w:rsidRPr="00CF1BD6" w:rsidRDefault="00CF1BD6" w:rsidP="00CF1BD6">
      <w:pPr>
        <w:pStyle w:val="BodyText"/>
      </w:pP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3F10DC" w14:paraId="3FBA19B7" w14:textId="77777777" w:rsidTr="003C18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460EDEBF" w14:textId="77777777" w:rsidR="003F10DC" w:rsidRDefault="003F10DC" w:rsidP="003C187E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660082A6" w14:textId="77777777" w:rsidR="000F3A33" w:rsidRDefault="003F10DC" w:rsidP="00BD09C8">
            <w:pPr>
              <w:jc w:val="both"/>
            </w:pPr>
            <w:r w:rsidRPr="00051747">
              <w:t xml:space="preserve">The F2 Report shall include a full and detailed breakdown of all costs included in the commercial offer for the provision </w:t>
            </w:r>
            <w:r w:rsidR="000F3A33">
              <w:t>of restoration services for the Tender Category you have tendered in for</w:t>
            </w:r>
            <w:r w:rsidRPr="00051747">
              <w:t xml:space="preserve">. </w:t>
            </w:r>
          </w:p>
          <w:p w14:paraId="43842632" w14:textId="4281CAEF" w:rsidR="003F10DC" w:rsidRPr="00051747" w:rsidRDefault="003F10DC" w:rsidP="00BD09C8">
            <w:pPr>
              <w:jc w:val="both"/>
            </w:pPr>
            <w:r w:rsidRPr="00051747">
              <w:t xml:space="preserve">ESO reserves the right to employ consultants to evaluate the designs and cost structures as part of the </w:t>
            </w:r>
            <w:r w:rsidR="006477C2" w:rsidRPr="00051747">
              <w:t>tender and</w:t>
            </w:r>
            <w:r w:rsidR="00CF1BD6" w:rsidRPr="00051747">
              <w:t xml:space="preserve"> may provide pricing schedule templates later in the process (but before commencement of F2 studies)</w:t>
            </w:r>
            <w:r w:rsidRPr="00051747">
              <w:t>. Areas expected to be covered:</w:t>
            </w:r>
          </w:p>
        </w:tc>
      </w:tr>
      <w:tr w:rsidR="003F10DC" w14:paraId="4C034C35" w14:textId="77777777" w:rsidTr="003C187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61795B3E" w14:textId="77777777" w:rsidR="003F10DC" w:rsidRDefault="003F10DC" w:rsidP="003C187E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07AE4A98" w14:textId="77777777" w:rsidR="003F10DC" w:rsidRPr="00051747" w:rsidRDefault="003F10DC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Project </w:t>
            </w:r>
            <w:proofErr w:type="gramStart"/>
            <w:r w:rsidRPr="00051747">
              <w:t>Development;</w:t>
            </w:r>
            <w:proofErr w:type="gramEnd"/>
          </w:p>
          <w:p w14:paraId="4470605E" w14:textId="77777777" w:rsidR="003F10DC" w:rsidRPr="00051747" w:rsidRDefault="003F10DC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Main </w:t>
            </w:r>
            <w:proofErr w:type="gramStart"/>
            <w:r w:rsidRPr="00051747">
              <w:t>Equipment;</w:t>
            </w:r>
            <w:proofErr w:type="gramEnd"/>
          </w:p>
          <w:p w14:paraId="262DC400" w14:textId="77777777" w:rsidR="003F10DC" w:rsidRPr="00051747" w:rsidRDefault="003F10DC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proofErr w:type="gramStart"/>
            <w:r w:rsidRPr="00051747">
              <w:t>Construction;</w:t>
            </w:r>
            <w:proofErr w:type="gramEnd"/>
          </w:p>
          <w:p w14:paraId="44C50346" w14:textId="77777777" w:rsidR="003F10DC" w:rsidRPr="00051747" w:rsidRDefault="003F10DC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 xml:space="preserve">Monthly Availability </w:t>
            </w:r>
            <w:proofErr w:type="gramStart"/>
            <w:r w:rsidRPr="00051747">
              <w:t>Fee;</w:t>
            </w:r>
            <w:proofErr w:type="gramEnd"/>
          </w:p>
          <w:p w14:paraId="551B7503" w14:textId="77777777" w:rsidR="003F10DC" w:rsidRPr="00051747" w:rsidRDefault="003F10DC" w:rsidP="00BD09C8">
            <w:pPr>
              <w:pStyle w:val="ListParagraph"/>
              <w:numPr>
                <w:ilvl w:val="0"/>
                <w:numId w:val="24"/>
              </w:numPr>
              <w:ind w:left="513" w:hanging="425"/>
              <w:jc w:val="both"/>
            </w:pPr>
            <w:r w:rsidRPr="00051747">
              <w:t>Service Readiness strategy (Commercially viable runs, preparedness capability, etc.).</w:t>
            </w:r>
          </w:p>
          <w:p w14:paraId="1964D31A" w14:textId="77777777" w:rsidR="003F10DC" w:rsidRPr="00051747" w:rsidRDefault="003F10DC" w:rsidP="003F10DC">
            <w:pPr>
              <w:pStyle w:val="ListParagraph"/>
              <w:jc w:val="both"/>
            </w:pPr>
          </w:p>
        </w:tc>
      </w:tr>
      <w:tr w:rsidR="003F10DC" w14:paraId="38953C77" w14:textId="77777777" w:rsidTr="003C187E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58F7D33" w14:textId="77777777" w:rsidR="003F10DC" w:rsidRDefault="003F10DC" w:rsidP="003C187E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 xml:space="preserve">Provider Response 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CC2CF3D" w14:textId="6AF1FEF0" w:rsidR="003F10DC" w:rsidRPr="00051747" w:rsidRDefault="003F10DC" w:rsidP="003C187E">
            <w:pPr>
              <w:pStyle w:val="BodyText"/>
              <w:jc w:val="both"/>
            </w:pPr>
          </w:p>
        </w:tc>
      </w:tr>
    </w:tbl>
    <w:p w14:paraId="503D6AE2" w14:textId="42D56421" w:rsidR="00CF1BD6" w:rsidRDefault="00CF1BD6" w:rsidP="00345FD8">
      <w:pPr>
        <w:pStyle w:val="BodyText"/>
        <w:jc w:val="both"/>
        <w:rPr>
          <w:color w:val="F26522" w:themeColor="accent1"/>
        </w:rPr>
      </w:pPr>
    </w:p>
    <w:p w14:paraId="0F6F2B85" w14:textId="77777777" w:rsidR="00CF1BD6" w:rsidRDefault="00CF1BD6">
      <w:pPr>
        <w:rPr>
          <w:color w:val="F26522" w:themeColor="accent1"/>
        </w:rPr>
      </w:pPr>
      <w:r>
        <w:rPr>
          <w:color w:val="F26522" w:themeColor="accent1"/>
        </w:rPr>
        <w:br w:type="page"/>
      </w:r>
    </w:p>
    <w:p w14:paraId="21C2A234" w14:textId="35FDB94C" w:rsidR="003F10DC" w:rsidRDefault="007618D3" w:rsidP="00CF1BD6">
      <w:pPr>
        <w:pStyle w:val="PageTitle"/>
        <w:framePr w:wrap="notBeside"/>
        <w:numPr>
          <w:ilvl w:val="1"/>
          <w:numId w:val="20"/>
        </w:numPr>
      </w:pPr>
      <w:bookmarkStart w:id="4" w:name="_Toc107397803"/>
      <w:r>
        <w:lastRenderedPageBreak/>
        <w:t xml:space="preserve"> </w:t>
      </w:r>
      <w:r w:rsidR="00BD09C8">
        <w:t>Cost of D</w:t>
      </w:r>
      <w:r w:rsidR="00CF1BD6">
        <w:t>elivering F2 report</w:t>
      </w:r>
      <w:bookmarkEnd w:id="4"/>
    </w:p>
    <w:p w14:paraId="3E8D58E3" w14:textId="7D8A42B6" w:rsidR="00CF1BD6" w:rsidRDefault="00CF1BD6" w:rsidP="00CF1BD6">
      <w:pPr>
        <w:pStyle w:val="BodyText"/>
      </w:pPr>
    </w:p>
    <w:p w14:paraId="05FF33AD" w14:textId="77777777" w:rsidR="00CF1BD6" w:rsidRPr="00CF1BD6" w:rsidRDefault="00CF1BD6" w:rsidP="00CF1BD6">
      <w:pPr>
        <w:pStyle w:val="BodyText"/>
      </w:pPr>
    </w:p>
    <w:tbl>
      <w:tblPr>
        <w:tblStyle w:val="NationalGrid"/>
        <w:tblW w:w="9357" w:type="dxa"/>
        <w:tblLook w:val="04A0" w:firstRow="1" w:lastRow="0" w:firstColumn="1" w:lastColumn="0" w:noHBand="0" w:noVBand="1"/>
      </w:tblPr>
      <w:tblGrid>
        <w:gridCol w:w="1985"/>
        <w:gridCol w:w="7372"/>
      </w:tblGrid>
      <w:tr w:rsidR="00CF1BD6" w14:paraId="7FFD1F76" w14:textId="77777777" w:rsidTr="002F6D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5" w:type="dxa"/>
            <w:tcBorders>
              <w:right w:val="single" w:sz="8" w:space="0" w:color="F26522" w:themeColor="accent1"/>
            </w:tcBorders>
          </w:tcPr>
          <w:p w14:paraId="4F269F96" w14:textId="77777777" w:rsidR="00CF1BD6" w:rsidRDefault="00CF1BD6" w:rsidP="002F6D18">
            <w:r w:rsidRPr="00C90CDD">
              <w:rPr>
                <w:color w:val="F26522" w:themeColor="accent1"/>
              </w:rPr>
              <w:t>Requirement</w:t>
            </w:r>
          </w:p>
        </w:tc>
        <w:tc>
          <w:tcPr>
            <w:tcW w:w="7372" w:type="dxa"/>
            <w:tcBorders>
              <w:left w:val="single" w:sz="8" w:space="0" w:color="F26522" w:themeColor="accent1"/>
            </w:tcBorders>
          </w:tcPr>
          <w:p w14:paraId="17C51D2E" w14:textId="609134D4" w:rsidR="00CF1BD6" w:rsidRPr="00051747" w:rsidRDefault="00CF1BD6" w:rsidP="000A3588">
            <w:pPr>
              <w:jc w:val="both"/>
            </w:pPr>
            <w:r w:rsidRPr="00051747">
              <w:t>ESO will</w:t>
            </w:r>
            <w:r w:rsidR="000F3A33">
              <w:t xml:space="preserve"> agree a capped contribution </w:t>
            </w:r>
            <w:r w:rsidRPr="00051747">
              <w:t>to cover costs associated with</w:t>
            </w:r>
            <w:r w:rsidR="000A3588">
              <w:t xml:space="preserve"> the</w:t>
            </w:r>
            <w:r w:rsidRPr="00051747">
              <w:t xml:space="preserve"> F2 </w:t>
            </w:r>
            <w:r w:rsidR="00881147">
              <w:t>R</w:t>
            </w:r>
            <w:r w:rsidRPr="00051747">
              <w:t>eport.</w:t>
            </w:r>
            <w:r w:rsidR="000F3A33">
              <w:t xml:space="preserve"> </w:t>
            </w:r>
            <w:r w:rsidRPr="00051747">
              <w:t xml:space="preserve">Providers are expected to minimise these costs to reduce the impact on the end </w:t>
            </w:r>
            <w:r w:rsidR="00276D70" w:rsidRPr="00051747">
              <w:t>consumer and</w:t>
            </w:r>
            <w:r w:rsidRPr="00051747">
              <w:t xml:space="preserve"> will only be reimbursed for costs once invoices and supporting evidence of costs incurred are received and validated by ESO. Costs will be reimbursable following closure of the F2 assessment </w:t>
            </w:r>
            <w:r w:rsidR="000F3A33" w:rsidRPr="00051747">
              <w:t>period and</w:t>
            </w:r>
            <w:r w:rsidRPr="00051747">
              <w:t xml:space="preserve"> following satisfactory responses to all clarifications being issued by ESO during the assessment period.  </w:t>
            </w:r>
          </w:p>
        </w:tc>
      </w:tr>
      <w:tr w:rsidR="00CF1BD6" w14:paraId="31EDCD07" w14:textId="77777777" w:rsidTr="002F6D18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2CACE316" w14:textId="0626219D" w:rsidR="00CF1BD6" w:rsidRDefault="00CF1BD6" w:rsidP="002F6D18">
            <w:r>
              <w:rPr>
                <w:color w:val="F26522" w:themeColor="accent1"/>
              </w:rPr>
              <w:t>Contents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4F881080" w14:textId="039448AD" w:rsidR="00CF1BD6" w:rsidRPr="00051747" w:rsidRDefault="00CF1BD6" w:rsidP="00BD09C8">
            <w:pPr>
              <w:jc w:val="both"/>
            </w:pPr>
            <w:r w:rsidRPr="00051747">
              <w:t xml:space="preserve">Please provide detailed breakdown of costs of delivering the F2 </w:t>
            </w:r>
            <w:r w:rsidR="00881147">
              <w:t>R</w:t>
            </w:r>
            <w:r w:rsidRPr="00051747">
              <w:t xml:space="preserve">eport. </w:t>
            </w:r>
          </w:p>
        </w:tc>
      </w:tr>
      <w:tr w:rsidR="00CF1BD6" w14:paraId="12881EAF" w14:textId="77777777" w:rsidTr="002F6D18">
        <w:tc>
          <w:tcPr>
            <w:tcW w:w="1985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ADF46CF" w14:textId="77777777" w:rsidR="00CF1BD6" w:rsidRDefault="00CF1BD6" w:rsidP="002F6D18">
            <w:pPr>
              <w:rPr>
                <w:color w:val="F26522" w:themeColor="accent1"/>
              </w:rPr>
            </w:pPr>
            <w:r>
              <w:rPr>
                <w:color w:val="F26522" w:themeColor="accent1"/>
              </w:rPr>
              <w:t xml:space="preserve">Provider Response </w:t>
            </w:r>
          </w:p>
        </w:tc>
        <w:tc>
          <w:tcPr>
            <w:tcW w:w="7372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2AC2EB2" w14:textId="77777777" w:rsidR="00CF1BD6" w:rsidRPr="00051747" w:rsidRDefault="00CF1BD6" w:rsidP="002F6D18">
            <w:pPr>
              <w:pStyle w:val="BodyText"/>
              <w:jc w:val="both"/>
            </w:pPr>
          </w:p>
        </w:tc>
      </w:tr>
    </w:tbl>
    <w:p w14:paraId="0C0832CE" w14:textId="77777777" w:rsidR="00CF1BD6" w:rsidRPr="00CF1BD6" w:rsidRDefault="00CF1BD6" w:rsidP="00CF1BD6">
      <w:pPr>
        <w:pStyle w:val="BodyText"/>
      </w:pPr>
    </w:p>
    <w:p w14:paraId="5F3A4F25" w14:textId="18A85E9A" w:rsidR="00330630" w:rsidRPr="006F1BB7" w:rsidRDefault="00330630" w:rsidP="00330630">
      <w:pPr>
        <w:pStyle w:val="PageTitle"/>
        <w:framePr w:wrap="notBeside"/>
      </w:pPr>
      <w:bookmarkStart w:id="5" w:name="_Toc107397804"/>
      <w:r>
        <w:lastRenderedPageBreak/>
        <w:t>1.</w:t>
      </w:r>
      <w:r w:rsidR="00CF1BD6">
        <w:t>6</w:t>
      </w:r>
      <w:r>
        <w:t xml:space="preserve"> List of Appendices / Attachments</w:t>
      </w:r>
      <w:bookmarkEnd w:id="5"/>
    </w:p>
    <w:tbl>
      <w:tblPr>
        <w:tblStyle w:val="NationalGrid"/>
        <w:tblpPr w:leftFromText="180" w:rightFromText="180" w:vertAnchor="page" w:horzAnchor="margin" w:tblpY="2657"/>
        <w:tblW w:w="8730" w:type="dxa"/>
        <w:tblLook w:val="04A0" w:firstRow="1" w:lastRow="0" w:firstColumn="1" w:lastColumn="0" w:noHBand="0" w:noVBand="1"/>
      </w:tblPr>
      <w:tblGrid>
        <w:gridCol w:w="1134"/>
        <w:gridCol w:w="3817"/>
        <w:gridCol w:w="3779"/>
      </w:tblGrid>
      <w:tr w:rsidR="00330630" w14:paraId="64AD6B82" w14:textId="77777777" w:rsidTr="00CF1B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  <w:tcBorders>
              <w:right w:val="single" w:sz="8" w:space="0" w:color="F26522" w:themeColor="accent1"/>
            </w:tcBorders>
            <w:vAlign w:val="center"/>
          </w:tcPr>
          <w:p w14:paraId="5AFB1F9F" w14:textId="77777777" w:rsidR="00330630" w:rsidRPr="00AA1F95" w:rsidRDefault="00330630" w:rsidP="00CF1BD6">
            <w:pPr>
              <w:jc w:val="center"/>
              <w:rPr>
                <w:b/>
                <w:color w:val="F26522" w:themeColor="accent1"/>
              </w:rPr>
            </w:pPr>
            <w:r w:rsidRPr="00AA1F95">
              <w:rPr>
                <w:b/>
                <w:color w:val="F26522" w:themeColor="accent1"/>
              </w:rPr>
              <w:t>Appendix</w:t>
            </w:r>
          </w:p>
          <w:p w14:paraId="6EF90727" w14:textId="77777777" w:rsidR="00330630" w:rsidRPr="00AA1F95" w:rsidRDefault="00330630" w:rsidP="00CF1BD6">
            <w:pPr>
              <w:jc w:val="center"/>
              <w:rPr>
                <w:b/>
              </w:rPr>
            </w:pPr>
            <w:r w:rsidRPr="00AA1F95">
              <w:rPr>
                <w:b/>
                <w:color w:val="F26522" w:themeColor="accent1"/>
              </w:rPr>
              <w:t>Num</w:t>
            </w:r>
            <w:r w:rsidR="00AA1F95">
              <w:rPr>
                <w:b/>
                <w:color w:val="F26522" w:themeColor="accent1"/>
              </w:rPr>
              <w:t>.</w:t>
            </w:r>
          </w:p>
        </w:tc>
        <w:tc>
          <w:tcPr>
            <w:tcW w:w="3817" w:type="dxa"/>
            <w:tcBorders>
              <w:right w:val="single" w:sz="8" w:space="0" w:color="F26522" w:themeColor="accent1"/>
            </w:tcBorders>
            <w:vAlign w:val="center"/>
          </w:tcPr>
          <w:p w14:paraId="62944EB0" w14:textId="77777777" w:rsidR="00330630" w:rsidRPr="00051747" w:rsidRDefault="00330630" w:rsidP="00CF1BD6">
            <w:pPr>
              <w:jc w:val="both"/>
              <w:rPr>
                <w:rFonts w:cstheme="minorHAnsi"/>
              </w:rPr>
            </w:pPr>
            <w:r w:rsidRPr="00051747">
              <w:rPr>
                <w:rFonts w:cstheme="minorHAnsi"/>
              </w:rPr>
              <w:t xml:space="preserve">Document </w:t>
            </w:r>
          </w:p>
        </w:tc>
        <w:tc>
          <w:tcPr>
            <w:tcW w:w="3779" w:type="dxa"/>
            <w:tcBorders>
              <w:left w:val="single" w:sz="8" w:space="0" w:color="F26522" w:themeColor="accent1"/>
            </w:tcBorders>
            <w:vAlign w:val="center"/>
          </w:tcPr>
          <w:p w14:paraId="6E9BA8F3" w14:textId="77777777" w:rsidR="00330630" w:rsidRPr="00051747" w:rsidRDefault="00330630" w:rsidP="00CF1BD6">
            <w:pPr>
              <w:jc w:val="both"/>
              <w:rPr>
                <w:rFonts w:cstheme="minorHAnsi"/>
              </w:rPr>
            </w:pPr>
            <w:r w:rsidRPr="00051747">
              <w:rPr>
                <w:rFonts w:cstheme="minorHAnsi"/>
              </w:rPr>
              <w:t>Fil</w:t>
            </w:r>
            <w:r w:rsidR="00AA1F95" w:rsidRPr="00051747">
              <w:rPr>
                <w:rFonts w:cstheme="minorHAnsi"/>
              </w:rPr>
              <w:t>e n</w:t>
            </w:r>
            <w:r w:rsidRPr="00051747">
              <w:rPr>
                <w:rFonts w:cstheme="minorHAnsi"/>
              </w:rPr>
              <w:t>ame</w:t>
            </w:r>
            <w:r w:rsidR="00AA1F95" w:rsidRPr="00051747">
              <w:rPr>
                <w:rFonts w:cstheme="minorHAnsi"/>
              </w:rPr>
              <w:t xml:space="preserve"> as submitted</w:t>
            </w:r>
          </w:p>
        </w:tc>
      </w:tr>
      <w:tr w:rsidR="00330630" w14:paraId="4E0E64F2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6C025688" w14:textId="77777777" w:rsidR="00330630" w:rsidRPr="00142505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  <w:r w:rsidRPr="00142505">
              <w:rPr>
                <w:rFonts w:cstheme="minorHAnsi"/>
                <w:b/>
                <w:color w:val="F26522" w:themeColor="accent1"/>
              </w:rPr>
              <w:t>1</w:t>
            </w: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0BE865C" w14:textId="77777777" w:rsidR="00330630" w:rsidRPr="00142505" w:rsidRDefault="00330630" w:rsidP="00CF1BD6">
            <w:pPr>
              <w:jc w:val="both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18354114" w14:textId="77777777" w:rsidR="00330630" w:rsidRPr="00AA1F95" w:rsidRDefault="00330630" w:rsidP="00CF1BD6">
            <w:pPr>
              <w:jc w:val="both"/>
              <w:rPr>
                <w:rFonts w:cstheme="minorHAnsi"/>
                <w:color w:val="auto"/>
              </w:rPr>
            </w:pPr>
          </w:p>
        </w:tc>
      </w:tr>
      <w:tr w:rsidR="00330630" w14:paraId="16A6F03E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19437919" w14:textId="77777777" w:rsidR="00330630" w:rsidRPr="00AA1F95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C897E1C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1B7E3B1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421343B4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1D5B466E" w14:textId="77777777" w:rsidR="00330630" w:rsidRPr="00AA1F95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1A99D83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730C833A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02318890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8191F23" w14:textId="77777777" w:rsidR="00330630" w:rsidRPr="00AA1F95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6CC7E3E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1E140C88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3E58B61B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150B6E8" w14:textId="77777777" w:rsidR="00330630" w:rsidRPr="00AA1F95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085BDC5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5CE1718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084156F4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6C4F0119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2DEA0D60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070FE7EE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0F76BCA4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DB178AD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2C6F5ADE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46FDBE34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6BEFFF8E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92F9AB2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124E8492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94089B6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74C0BF78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12BCEC3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8A80980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21813451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77D991AF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217E59B4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74412A7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598C565A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357C9965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0B6E25A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3169999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050F42A6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4871ED2C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8158F49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E26A3F5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B6CCFEF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72607246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5A499CF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26AD7876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7F30DAC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6E4F102B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90CCBC1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AF1B3B4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258805B1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1A5B9284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6A2C3CA7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3E1FB666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61A537D3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27519555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61084E8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2C77F8B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A74A102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6E9444F5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7FDAB2EB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040EE7CC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4ADF2B7D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64BABC1F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9265015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5DDB10D1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820FDF0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23996D9E" w14:textId="77777777" w:rsidTr="00CF1BD6">
        <w:tc>
          <w:tcPr>
            <w:tcW w:w="1134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6ACFEC97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bottom w:val="single" w:sz="8" w:space="0" w:color="F26522" w:themeColor="accent1"/>
              <w:right w:val="single" w:sz="8" w:space="0" w:color="F26522" w:themeColor="accent1"/>
            </w:tcBorders>
          </w:tcPr>
          <w:p w14:paraId="45B45C4F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  <w:bottom w:val="single" w:sz="8" w:space="0" w:color="F26522" w:themeColor="accent1"/>
            </w:tcBorders>
          </w:tcPr>
          <w:p w14:paraId="33461B7E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  <w:tr w:rsidR="00330630" w14:paraId="4C6E1026" w14:textId="77777777" w:rsidTr="00CF1BD6">
        <w:tc>
          <w:tcPr>
            <w:tcW w:w="1134" w:type="dxa"/>
            <w:tcBorders>
              <w:top w:val="single" w:sz="8" w:space="0" w:color="F26522" w:themeColor="accent1"/>
              <w:right w:val="single" w:sz="8" w:space="0" w:color="F26522" w:themeColor="accent1"/>
            </w:tcBorders>
          </w:tcPr>
          <w:p w14:paraId="500F0CC1" w14:textId="77777777" w:rsidR="00330630" w:rsidRPr="00150B53" w:rsidRDefault="00330630" w:rsidP="00CF1BD6">
            <w:pPr>
              <w:jc w:val="center"/>
              <w:rPr>
                <w:rFonts w:cstheme="minorHAnsi"/>
                <w:b/>
                <w:color w:val="F26522" w:themeColor="accent1"/>
              </w:rPr>
            </w:pPr>
          </w:p>
        </w:tc>
        <w:tc>
          <w:tcPr>
            <w:tcW w:w="3817" w:type="dxa"/>
            <w:tcBorders>
              <w:top w:val="single" w:sz="8" w:space="0" w:color="F26522" w:themeColor="accent1"/>
              <w:right w:val="single" w:sz="8" w:space="0" w:color="F26522" w:themeColor="accent1"/>
            </w:tcBorders>
          </w:tcPr>
          <w:p w14:paraId="6C693774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  <w:tc>
          <w:tcPr>
            <w:tcW w:w="3779" w:type="dxa"/>
            <w:tcBorders>
              <w:top w:val="single" w:sz="8" w:space="0" w:color="F26522" w:themeColor="accent1"/>
              <w:left w:val="single" w:sz="8" w:space="0" w:color="F26522" w:themeColor="accent1"/>
            </w:tcBorders>
          </w:tcPr>
          <w:p w14:paraId="1B815A33" w14:textId="77777777" w:rsidR="00330630" w:rsidRPr="00AA1F95" w:rsidRDefault="00330630" w:rsidP="00CF1BD6">
            <w:pPr>
              <w:rPr>
                <w:rFonts w:cstheme="minorHAnsi"/>
                <w:color w:val="auto"/>
              </w:rPr>
            </w:pPr>
          </w:p>
        </w:tc>
      </w:tr>
    </w:tbl>
    <w:p w14:paraId="670D723B" w14:textId="77777777" w:rsidR="00CF1BD6" w:rsidRDefault="00CF1BD6" w:rsidP="00E86BD9">
      <w:pPr>
        <w:pStyle w:val="BodyText"/>
      </w:pPr>
    </w:p>
    <w:p w14:paraId="356E4F6E" w14:textId="3DDDEA3E" w:rsidR="002819F4" w:rsidRDefault="003F10DC" w:rsidP="00E86BD9">
      <w:pPr>
        <w:pStyle w:val="BodyText"/>
      </w:pPr>
      <w:r>
        <w:t>Please list document titles of any associated attachments.</w:t>
      </w:r>
    </w:p>
    <w:p w14:paraId="63EA0FB1" w14:textId="77777777" w:rsidR="00330630" w:rsidRDefault="00330630" w:rsidP="00E86BD9">
      <w:pPr>
        <w:pStyle w:val="BodyText"/>
      </w:pPr>
    </w:p>
    <w:p w14:paraId="2568E640" w14:textId="77777777" w:rsidR="00330630" w:rsidRDefault="00330630" w:rsidP="00E86BD9">
      <w:pPr>
        <w:pStyle w:val="BodyText"/>
      </w:pPr>
    </w:p>
    <w:p w14:paraId="20A11786" w14:textId="77777777" w:rsidR="00F41D71" w:rsidRPr="00F41D71" w:rsidRDefault="00F41D71" w:rsidP="00F41D71">
      <w:pPr>
        <w:spacing w:before="120" w:line="360" w:lineRule="auto"/>
        <w:jc w:val="both"/>
        <w:rPr>
          <w:rFonts w:asciiTheme="majorHAnsi" w:hAnsiTheme="majorHAnsi" w:cstheme="majorHAnsi"/>
          <w:color w:val="F26522" w:themeColor="accent1"/>
        </w:rPr>
      </w:pPr>
    </w:p>
    <w:p w14:paraId="5F103284" w14:textId="77777777" w:rsidR="00330630" w:rsidRDefault="00330630" w:rsidP="00E86BD9">
      <w:pPr>
        <w:pStyle w:val="BodyText"/>
      </w:pPr>
    </w:p>
    <w:p w14:paraId="0B6ECCB2" w14:textId="77777777" w:rsidR="00330630" w:rsidRDefault="00330630" w:rsidP="00E86BD9">
      <w:pPr>
        <w:pStyle w:val="BodyText"/>
      </w:pPr>
    </w:p>
    <w:p w14:paraId="34AF7ADE" w14:textId="77777777" w:rsidR="00330630" w:rsidRDefault="00330630" w:rsidP="00E86BD9">
      <w:pPr>
        <w:pStyle w:val="BodyText"/>
      </w:pPr>
    </w:p>
    <w:p w14:paraId="4B0964F3" w14:textId="77777777" w:rsidR="00330630" w:rsidRDefault="00330630" w:rsidP="00E86BD9">
      <w:pPr>
        <w:pStyle w:val="BodyText"/>
      </w:pPr>
    </w:p>
    <w:p w14:paraId="42729100" w14:textId="77777777" w:rsidR="00330630" w:rsidRPr="00A1119B" w:rsidRDefault="00330630" w:rsidP="00E86BD9">
      <w:pPr>
        <w:pStyle w:val="BodyText"/>
        <w:sectPr w:rsidR="00330630" w:rsidRPr="00A1119B" w:rsidSect="00CF1BD6">
          <w:headerReference w:type="first" r:id="rId16"/>
          <w:footerReference w:type="first" r:id="rId17"/>
          <w:pgSz w:w="11906" w:h="16838" w:code="9"/>
          <w:pgMar w:top="1701" w:right="1191" w:bottom="1134" w:left="1191" w:header="567" w:footer="567" w:gutter="0"/>
          <w:cols w:space="708"/>
          <w:docGrid w:linePitch="360"/>
        </w:sectPr>
      </w:pPr>
    </w:p>
    <w:sdt>
      <w:sdtPr>
        <w:id w:val="-1254353140"/>
        <w:docPartObj>
          <w:docPartGallery w:val="Cover Pages"/>
        </w:docPartObj>
      </w:sdtPr>
      <w:sdtEndPr/>
      <w:sdtContent>
        <w:bookmarkStart w:id="6" w:name="_Hlk524361428" w:displacedByCustomXml="prev"/>
        <w:p w14:paraId="403174DB" w14:textId="77777777" w:rsidR="009800BC" w:rsidRDefault="009800BC" w:rsidP="009800BC">
          <w:r>
            <w:rPr>
              <w:noProof/>
              <w:lang w:eastAsia="en-GB"/>
            </w:rPr>
            <w:drawing>
              <wp:anchor distT="0" distB="0" distL="114300" distR="114300" simplePos="0" relativeHeight="251638781" behindDoc="1" locked="1" layoutInCell="1" allowOverlap="1" wp14:anchorId="445CD6D1" wp14:editId="38A9E0ED">
                <wp:simplePos x="0" y="0"/>
                <wp:positionH relativeFrom="page">
                  <wp:align>left</wp:align>
                </wp:positionH>
                <wp:positionV relativeFrom="page">
                  <wp:align>top</wp:align>
                </wp:positionV>
                <wp:extent cx="7560000" cy="10692000"/>
                <wp:effectExtent l="0" t="0" r="3175" b="0"/>
                <wp:wrapNone/>
                <wp:docPr id="71" name="Pictur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" name="background-03.png"/>
                        <pic:cNvPicPr preferRelativeResize="0"/>
                      </pic:nvPicPr>
                      <pic:blipFill>
                        <a:blip r:embed="rId1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60000" cy="1069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172FD4">
            <w:rPr>
              <w:noProof/>
              <w:lang w:eastAsia="en-GB"/>
            </w:rPr>
            <mc:AlternateContent>
              <mc:Choice Requires="wpg">
                <w:drawing>
                  <wp:anchor distT="0" distB="0" distL="114300" distR="114300" simplePos="0" relativeHeight="251710464" behindDoc="1" locked="1" layoutInCell="1" allowOverlap="1" wp14:anchorId="6826A522" wp14:editId="2D99FCAB">
                    <wp:simplePos x="0" y="0"/>
                    <wp:positionH relativeFrom="column">
                      <wp:posOffset>588408</wp:posOffset>
                    </wp:positionH>
                    <wp:positionV relativeFrom="page">
                      <wp:posOffset>7791450</wp:posOffset>
                    </wp:positionV>
                    <wp:extent cx="5961600" cy="3366000"/>
                    <wp:effectExtent l="0" t="0" r="1270" b="6350"/>
                    <wp:wrapNone/>
                    <wp:docPr id="20" name="Group 20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961600" cy="3366000"/>
                              <a:chOff x="0" y="0"/>
                              <a:chExt cx="5962043" cy="3364647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Picture 14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 rot="10800000" flipV="1">
                                <a:off x="1746913" y="1542197"/>
                                <a:ext cx="4215130" cy="1822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17" name="Picture 12">
                                <a:extLst>
                                  <a:ext uri="{FF2B5EF4-FFF2-40B4-BE49-F238E27FC236}">
                                    <a16:creationId xmlns:a16="http://schemas.microsoft.com/office/drawing/2014/main" id="{DC0E0B6B-9082-4BDB-A555-BA6DEB512DD5}"/>
                                  </a:ext>
                                </a:extLst>
                              </pic:cNvPr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2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507475" y="2238232"/>
                                <a:ext cx="2051685" cy="30543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6" name="Text Box 16"/>
                            <wps:cNvSpPr txBox="1"/>
                            <wps:spPr>
                              <a:xfrm>
                                <a:off x="0" y="0"/>
                                <a:ext cx="5549900" cy="136695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DF4A43" w14:textId="77777777" w:rsidR="0007595D" w:rsidRDefault="0007595D" w:rsidP="009800BC">
                                  <w:pPr>
                                    <w:pStyle w:val="Backcoverdisclaimer"/>
                                  </w:pPr>
                                  <w:r w:rsidRPr="00E612F7">
                                    <w:t>Faraday House, Warwick Technology Park,</w:t>
                                  </w:r>
                                  <w:r w:rsidRPr="00E612F7">
                                    <w:br/>
                                    <w:t>Gallows Hill, Warwick, CV346DA</w:t>
                                  </w:r>
                                </w:p>
                                <w:p w14:paraId="0730ED85" w14:textId="77777777" w:rsidR="0007595D" w:rsidRPr="00E9031E" w:rsidRDefault="0007595D" w:rsidP="009800BC">
                                  <w:pPr>
                                    <w:pStyle w:val="Backcoverdisclaimer"/>
                                    <w:rPr>
                                      <w:b/>
                                    </w:rPr>
                                  </w:pPr>
                                  <w:r w:rsidRPr="00E612F7">
                                    <w:rPr>
                                      <w:rStyle w:val="Bold"/>
                                    </w:rPr>
                                    <w:t>nationalgrideso.com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6826A522" id="Group 20" o:spid="_x0000_s1026" style="position:absolute;margin-left:46.35pt;margin-top:613.5pt;width:469.4pt;height:265.05pt;z-index:-251606016;mso-position-vertical-relative:page;mso-width-relative:margin;mso-height-relative:margin" coordsize="59620,3364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4" o:spid="_x0000_s1027" type="#_x0000_t75" style="position:absolute;left:17469;top:15421;width:42151;height:18225;rotation:180;flip:y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">
                      <v:imagedata r:id="rId21" o:title=""/>
                    </v:shape>
                    <v:shape id="Picture 12" o:spid="_x0000_s1028" type="#_x0000_t75" style="position:absolute;left:35074;top:22382;width:20517;height:30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">
                      <v:imagedata r:id="rId22" o:title="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9" type="#_x0000_t202" style="position:absolute;width:55499;height:13669;visibility:visible;mso-wrap-style:non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" filled="f" stroked="f" strokeweight=".5pt">
                      <v:textbox>
                        <w:txbxContent>
                          <w:p w14:paraId="6EDF4A43" w14:textId="77777777" w:rsidR="0007595D" w:rsidRDefault="0007595D" w:rsidP="009800BC">
                            <w:pPr>
                              <w:pStyle w:val="Backcoverdisclaimer"/>
                            </w:pPr>
                            <w:r w:rsidRPr="00E612F7">
                              <w:t>Faraday House, Warwick Technology Park,</w:t>
                            </w:r>
                            <w:r w:rsidRPr="00E612F7">
                              <w:br/>
                              <w:t>Gallows Hill, Warwick, CV346DA</w:t>
                            </w:r>
                          </w:p>
                          <w:p w14:paraId="0730ED85" w14:textId="77777777" w:rsidR="0007595D" w:rsidRPr="00E9031E" w:rsidRDefault="0007595D" w:rsidP="009800BC">
                            <w:pPr>
                              <w:pStyle w:val="Backcoverdisclaimer"/>
                              <w:rPr>
                                <w:b/>
                              </w:rPr>
                            </w:pPr>
                            <w:r w:rsidRPr="00E612F7">
                              <w:rPr>
                                <w:rStyle w:val="Bold"/>
                              </w:rPr>
                              <w:t>nationalgrideso.com</w:t>
                            </w:r>
                          </w:p>
                        </w:txbxContent>
                      </v:textbox>
                    </v:shape>
                    <w10:wrap anchory="page"/>
                    <w10:anchorlock/>
                  </v:group>
                </w:pict>
              </mc:Fallback>
            </mc:AlternateContent>
          </w:r>
        </w:p>
      </w:sdtContent>
    </w:sdt>
    <w:bookmarkEnd w:id="6" w:displacedByCustomXml="prev"/>
    <w:sectPr w:rsidR="009800BC" w:rsidSect="00426B39">
      <w:headerReference w:type="default" r:id="rId23"/>
      <w:pgSz w:w="11906" w:h="16838" w:code="9"/>
      <w:pgMar w:top="2608" w:right="1588" w:bottom="1134" w:left="1588" w:header="567" w:footer="567" w:gutter="0"/>
      <w:cols w:space="11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C359C" w14:textId="77777777" w:rsidR="00F5662D" w:rsidRDefault="00F5662D" w:rsidP="00A62BFF">
      <w:pPr>
        <w:spacing w:after="0"/>
      </w:pPr>
      <w:r>
        <w:separator/>
      </w:r>
    </w:p>
  </w:endnote>
  <w:endnote w:type="continuationSeparator" w:id="0">
    <w:p w14:paraId="7F2A51DA" w14:textId="77777777" w:rsidR="00F5662D" w:rsidRDefault="00F5662D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03F7" w14:textId="75BD8437" w:rsidR="00CF1BD6" w:rsidRDefault="0007595D" w:rsidP="00CF1BD6">
    <w:pPr>
      <w:pStyle w:val="Footer"/>
    </w:pPr>
    <w:r>
      <w:fldChar w:fldCharType="begin"/>
    </w:r>
    <w:r>
      <w:instrText xml:space="preserve"> STYLEREF  "Cover date"  \* MERGEFORMAT </w:instrTex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7E6AA" w14:textId="00625C80" w:rsidR="0007595D" w:rsidRDefault="0007595D">
    <w:pPr>
      <w:pStyle w:val="Footer"/>
    </w:pPr>
    <w:r>
      <w:fldChar w:fldCharType="begin"/>
    </w:r>
    <w:r>
      <w:instrText xml:space="preserve"> STYLEREF  "Cover date"  \* MERGEFORMAT </w:instrText>
    </w:r>
    <w:r>
      <w:fldChar w:fldCharType="end"/>
    </w:r>
    <w:r>
      <w:t> </w:t>
    </w:r>
    <w:r w:rsidRPr="001F3114">
      <w:t>|</w:t>
    </w:r>
    <w:r>
      <w:t> </w:t>
    </w:r>
    <w:fldSimple w:instr=" STYLEREF  Cover  \* MERGEFORMAT ">
      <w:r w:rsidR="00A92B7E">
        <w:t>Invitation To Tender Part 1 - Stage 2 Feasibility</w:t>
      </w:r>
    </w:fldSimple>
    <w:r>
      <w:ptab w:relativeTo="margin" w:alignment="right" w:leader="none"/>
    </w:r>
    <w:r w:rsidRPr="0065406D">
      <w:fldChar w:fldCharType="begin"/>
    </w:r>
    <w:r w:rsidRPr="0065406D">
      <w:instrText xml:space="preserve"> PAGE   \* MERGEFORMAT </w:instrText>
    </w:r>
    <w:r w:rsidRPr="0065406D">
      <w:fldChar w:fldCharType="separate"/>
    </w:r>
    <w:r w:rsidR="003D057F">
      <w:t>0</w:t>
    </w:r>
    <w:r w:rsidRPr="0065406D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9F131" w14:textId="64292469" w:rsidR="0007595D" w:rsidRPr="00F91D74" w:rsidRDefault="0007595D" w:rsidP="00BE07E5">
    <w:pPr>
      <w:pStyle w:val="Footer"/>
    </w:pPr>
    <w:r>
      <w:rPr>
        <w:lang w:eastAsia="en-GB"/>
      </w:rPr>
      <mc:AlternateContent>
        <mc:Choice Requires="wps">
          <w:drawing>
            <wp:anchor distT="0" distB="0" distL="114300" distR="114300" simplePos="0" relativeHeight="251650035" behindDoc="0" locked="1" layoutInCell="1" allowOverlap="1" wp14:anchorId="56B3D69F" wp14:editId="4C3D8334">
              <wp:simplePos x="0" y="0"/>
              <wp:positionH relativeFrom="page">
                <wp:posOffset>-14605</wp:posOffset>
              </wp:positionH>
              <wp:positionV relativeFrom="page">
                <wp:posOffset>7315835</wp:posOffset>
              </wp:positionV>
              <wp:extent cx="7844400" cy="3391200"/>
              <wp:effectExtent l="0" t="0" r="4445" b="0"/>
              <wp:wrapNone/>
              <wp:docPr id="18" name="Freeform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844400" cy="3391200"/>
                      </a:xfrm>
                      <a:custGeom>
                        <a:avLst/>
                        <a:gdLst>
                          <a:gd name="T0" fmla="*/ 2381 w 2381"/>
                          <a:gd name="T1" fmla="*/ 771 h 1028"/>
                          <a:gd name="T2" fmla="*/ 1655 w 2381"/>
                          <a:gd name="T3" fmla="*/ 352 h 1028"/>
                          <a:gd name="T4" fmla="*/ 675 w 2381"/>
                          <a:gd name="T5" fmla="*/ 0 h 1028"/>
                          <a:gd name="T6" fmla="*/ 0 w 2381"/>
                          <a:gd name="T7" fmla="*/ 161 h 1028"/>
                          <a:gd name="T8" fmla="*/ 0 w 2381"/>
                          <a:gd name="T9" fmla="*/ 1028 h 1028"/>
                          <a:gd name="T10" fmla="*/ 2381 w 2381"/>
                          <a:gd name="T11" fmla="*/ 1028 h 1028"/>
                          <a:gd name="T12" fmla="*/ 2381 w 2381"/>
                          <a:gd name="T13" fmla="*/ 771 h 1028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2381" h="1028">
                            <a:moveTo>
                              <a:pt x="2381" y="771"/>
                            </a:moveTo>
                            <a:cubicBezTo>
                              <a:pt x="2047" y="664"/>
                              <a:pt x="1655" y="352"/>
                              <a:pt x="1655" y="352"/>
                            </a:cubicBezTo>
                            <a:cubicBezTo>
                              <a:pt x="1372" y="114"/>
                              <a:pt x="1047" y="0"/>
                              <a:pt x="675" y="0"/>
                            </a:cubicBezTo>
                            <a:cubicBezTo>
                              <a:pt x="427" y="0"/>
                              <a:pt x="201" y="68"/>
                              <a:pt x="0" y="161"/>
                            </a:cubicBezTo>
                            <a:cubicBezTo>
                              <a:pt x="0" y="1028"/>
                              <a:pt x="0" y="1028"/>
                              <a:pt x="0" y="1028"/>
                            </a:cubicBezTo>
                            <a:cubicBezTo>
                              <a:pt x="2381" y="1028"/>
                              <a:pt x="2381" y="1028"/>
                              <a:pt x="2381" y="1028"/>
                            </a:cubicBezTo>
                            <a:lnTo>
                              <a:pt x="2381" y="771"/>
                            </a:ln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F03900C" id="Freeform 4" o:spid="_x0000_s1026" style="position:absolute;margin-left:-1.15pt;margin-top:576.05pt;width:617.65pt;height:267pt;z-index:2516500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coordsize="2381,1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" path="m2381,771c2047,664,1655,352,1655,352,1372,114,1047,,675,,427,,201,68,,161v,867,,867,,867c2381,1028,2381,1028,2381,1028r,-257xe" fillcolor="white [3212]" stroked="f">
              <v:path arrowok="t" o:connecttype="custom" o:connectlocs="7844400,2543400;5452533,1161189;2223843,0;0,531112;0,3391200;7844400,3391200;7844400,2543400" o:connectangles="0,0,0,0,0,0,0"/>
              <w10:wrap anchorx="page" anchory="page"/>
              <w10:anchorlock/>
            </v:shape>
          </w:pict>
        </mc:Fallback>
      </mc:AlternateContent>
    </w:r>
    <w:r>
      <w:fldChar w:fldCharType="begin"/>
    </w:r>
    <w:r>
      <w:instrText xml:space="preserve"> STYLEREF  "Cover date"  \* MERGEFORMAT </w:instrText>
    </w:r>
    <w:r>
      <w:fldChar w:fldCharType="end"/>
    </w:r>
    <w:r>
      <w:t> </w:t>
    </w:r>
    <w:r w:rsidRPr="001F3114">
      <w:t>|</w:t>
    </w:r>
    <w:r>
      <w:t> </w:t>
    </w:r>
    <w:fldSimple w:instr=" STYLEREF  Cover  \* MERGEFORMAT ">
      <w:r w:rsidR="00A92B7E">
        <w:t>Invitation To Tender Part 1 - Stage 2 Feasibility</w:t>
      </w:r>
    </w:fldSimple>
    <w:r>
      <w:ptab w:relativeTo="margin" w:alignment="right" w:leader="none"/>
    </w:r>
    <w:r w:rsidRPr="0065406D">
      <w:fldChar w:fldCharType="begin"/>
    </w:r>
    <w:r w:rsidRPr="0065406D">
      <w:instrText xml:space="preserve"> PAGE   \* MERGEFORMAT </w:instrText>
    </w:r>
    <w:r w:rsidRPr="0065406D">
      <w:fldChar w:fldCharType="separate"/>
    </w:r>
    <w:r w:rsidR="003D057F">
      <w:t>1</w:t>
    </w:r>
    <w:r w:rsidRPr="0065406D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5C1B" w14:textId="1D579884" w:rsidR="0007595D" w:rsidRPr="00CA6B5E" w:rsidRDefault="006477C2" w:rsidP="00BE07E5">
    <w:pPr>
      <w:pStyle w:val="Footer"/>
    </w:pPr>
    <w:fldSimple w:instr=" STYLEREF  Cover  \* MERGEFORMAT ">
      <w:r w:rsidR="00EF0598">
        <w:t>Invitation To Tender Part 1 - Stage 2 Feasibility</w:t>
      </w:r>
    </w:fldSimple>
    <w:r w:rsidR="0007595D">
      <w:t xml:space="preserve"> </w:t>
    </w:r>
    <w:r w:rsidR="0007595D">
      <w:rPr>
        <w:rFonts w:cstheme="minorHAnsi"/>
      </w:rPr>
      <w:t>●</w:t>
    </w:r>
    <w:r w:rsidR="0007595D">
      <w:t xml:space="preserve"> </w:t>
    </w:r>
    <w:r w:rsidR="00AD70D4">
      <w:fldChar w:fldCharType="begin"/>
    </w:r>
    <w:r w:rsidR="00AD70D4">
      <w:instrText xml:space="preserve"> STYLEREF  "Cover date"  \* MERGEFORMAT </w:instrText>
    </w:r>
    <w:r w:rsidR="00AD70D4">
      <w:fldChar w:fldCharType="end"/>
    </w:r>
    <w:r w:rsidR="0007595D">
      <w:t xml:space="preserve"> </w:t>
    </w:r>
    <w:r w:rsidR="0007595D">
      <w:rPr>
        <w:rFonts w:cstheme="minorHAnsi"/>
      </w:rPr>
      <w:t>●</w:t>
    </w:r>
    <w:r w:rsidR="0007595D">
      <w:t xml:space="preserve"> </w:t>
    </w:r>
    <w:r w:rsidR="0007595D" w:rsidRPr="00134F82">
      <w:fldChar w:fldCharType="begin"/>
    </w:r>
    <w:r w:rsidR="0007595D" w:rsidRPr="00134F82">
      <w:instrText xml:space="preserve"> PAGE   \* MERGEFORMAT </w:instrText>
    </w:r>
    <w:r w:rsidR="0007595D" w:rsidRPr="00134F82">
      <w:fldChar w:fldCharType="separate"/>
    </w:r>
    <w:r w:rsidR="0007595D">
      <w:t>1</w:t>
    </w:r>
    <w:r w:rsidR="0007595D" w:rsidRPr="00134F8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0BA6C" w14:textId="77777777" w:rsidR="00F5662D" w:rsidRDefault="00F5662D" w:rsidP="00A62BFF">
      <w:pPr>
        <w:spacing w:after="0"/>
      </w:pPr>
      <w:r>
        <w:separator/>
      </w:r>
    </w:p>
  </w:footnote>
  <w:footnote w:type="continuationSeparator" w:id="0">
    <w:p w14:paraId="1C6BD006" w14:textId="77777777" w:rsidR="00F5662D" w:rsidRDefault="00F5662D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72A0C" w14:textId="77777777" w:rsidR="0007595D" w:rsidRPr="00A6517C" w:rsidRDefault="0007595D" w:rsidP="00A6517C">
    <w:r w:rsidRPr="00D335F9">
      <w:rPr>
        <w:noProof/>
        <w:lang w:eastAsia="en-GB"/>
      </w:rPr>
      <w:drawing>
        <wp:anchor distT="0" distB="0" distL="114300" distR="114300" simplePos="0" relativeHeight="251642861" behindDoc="0" locked="1" layoutInCell="1" allowOverlap="1" wp14:anchorId="19DA3A29" wp14:editId="63F5F5C2">
          <wp:simplePos x="0" y="0"/>
          <wp:positionH relativeFrom="column">
            <wp:posOffset>29845</wp:posOffset>
          </wp:positionH>
          <wp:positionV relativeFrom="page">
            <wp:posOffset>431165</wp:posOffset>
          </wp:positionV>
          <wp:extent cx="2051685" cy="305435"/>
          <wp:effectExtent l="0" t="0" r="5715" b="0"/>
          <wp:wrapNone/>
          <wp:docPr id="65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GB"/>
      </w:rPr>
      <w:drawing>
        <wp:anchor distT="0" distB="0" distL="114300" distR="114300" simplePos="0" relativeHeight="251640811" behindDoc="0" locked="1" layoutInCell="1" allowOverlap="1" wp14:anchorId="6DE1FC86" wp14:editId="11A193D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10692000"/>
          <wp:effectExtent l="0" t="0" r="3175" b="0"/>
          <wp:wrapNone/>
          <wp:docPr id="64" name="Picture 6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1211">
      <w:rPr>
        <w:noProof/>
        <w:lang w:eastAsia="en-GB"/>
      </w:rPr>
      <w:drawing>
        <wp:anchor distT="0" distB="0" distL="114300" distR="114300" simplePos="0" relativeHeight="251641836" behindDoc="0" locked="1" layoutInCell="1" allowOverlap="1" wp14:anchorId="7EB1A659" wp14:editId="00479F38">
          <wp:simplePos x="0" y="0"/>
          <wp:positionH relativeFrom="page">
            <wp:posOffset>-144145</wp:posOffset>
          </wp:positionH>
          <wp:positionV relativeFrom="page">
            <wp:align>top</wp:align>
          </wp:positionV>
          <wp:extent cx="7844400" cy="3394800"/>
          <wp:effectExtent l="0" t="0" r="4445" b="0"/>
          <wp:wrapNone/>
          <wp:docPr id="70" name="Picture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7844400" cy="33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7A181" w14:textId="77777777" w:rsidR="0007595D" w:rsidRPr="00A6517C" w:rsidRDefault="0007595D" w:rsidP="00A6517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3E699" w14:textId="77777777" w:rsidR="0007595D" w:rsidRPr="00241AA1" w:rsidRDefault="0007595D" w:rsidP="00EE766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4B76" w14:textId="77777777" w:rsidR="0007595D" w:rsidRPr="00980623" w:rsidRDefault="0007595D" w:rsidP="009806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3D06C6E"/>
    <w:multiLevelType w:val="hybridMultilevel"/>
    <w:tmpl w:val="FB4EA02A"/>
    <w:lvl w:ilvl="0" w:tplc="CBA28216">
      <w:start w:val="1"/>
      <w:numFmt w:val="bullet"/>
      <w:lvlText w:val="-"/>
      <w:lvlJc w:val="left"/>
      <w:pPr>
        <w:ind w:left="45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1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D202D91"/>
    <w:multiLevelType w:val="hybridMultilevel"/>
    <w:tmpl w:val="B928AF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D848A7"/>
    <w:multiLevelType w:val="multilevel"/>
    <w:tmpl w:val="EEF4AD50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7F41FB0"/>
    <w:multiLevelType w:val="hybridMultilevel"/>
    <w:tmpl w:val="2D765F74"/>
    <w:lvl w:ilvl="0" w:tplc="E0140AB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674420"/>
    <w:multiLevelType w:val="multilevel"/>
    <w:tmpl w:val="63EE2864"/>
    <w:lvl w:ilvl="0">
      <w:start w:val="1"/>
      <w:numFmt w:val="upperLetter"/>
      <w:pStyle w:val="AppendixSectionNumber"/>
      <w:lvlText w:val="%1"/>
      <w:lvlJc w:val="left"/>
      <w:pPr>
        <w:ind w:left="567" w:hanging="567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32300F"/>
    <w:multiLevelType w:val="hybridMultilevel"/>
    <w:tmpl w:val="F4BA08D8"/>
    <w:lvl w:ilvl="0" w:tplc="CBA2821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A2F2C"/>
    <w:multiLevelType w:val="multilevel"/>
    <w:tmpl w:val="AF747ED0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2E9E2891"/>
    <w:multiLevelType w:val="hybridMultilevel"/>
    <w:tmpl w:val="041850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0D05"/>
    <w:multiLevelType w:val="hybridMultilevel"/>
    <w:tmpl w:val="C69491E8"/>
    <w:lvl w:ilvl="0" w:tplc="C89CC18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D5C2233E">
      <w:numFmt w:val="bullet"/>
      <w:lvlText w:val="•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1443BC"/>
    <w:multiLevelType w:val="hybridMultilevel"/>
    <w:tmpl w:val="6E4E0E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EB7CD2"/>
    <w:multiLevelType w:val="hybridMultilevel"/>
    <w:tmpl w:val="8F763F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E35ED3"/>
    <w:multiLevelType w:val="hybridMultilevel"/>
    <w:tmpl w:val="225C8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1442C"/>
    <w:multiLevelType w:val="hybridMultilevel"/>
    <w:tmpl w:val="B1520628"/>
    <w:lvl w:ilvl="0" w:tplc="CBA2821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963FE"/>
    <w:multiLevelType w:val="hybridMultilevel"/>
    <w:tmpl w:val="92B6E0C6"/>
    <w:lvl w:ilvl="0" w:tplc="CBA2821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7" w15:restartNumberingAfterBreak="0">
    <w:nsid w:val="6A2C691C"/>
    <w:multiLevelType w:val="multilevel"/>
    <w:tmpl w:val="48BE0FB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664375F"/>
    <w:multiLevelType w:val="hybridMultilevel"/>
    <w:tmpl w:val="D506EC2A"/>
    <w:lvl w:ilvl="0" w:tplc="92AA0854">
      <w:start w:val="1"/>
      <w:numFmt w:val="lowerRoman"/>
      <w:lvlText w:val="%1."/>
      <w:lvlJc w:val="left"/>
      <w:pPr>
        <w:ind w:left="11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99" w:hanging="360"/>
      </w:pPr>
    </w:lvl>
    <w:lvl w:ilvl="2" w:tplc="0809001B" w:tentative="1">
      <w:start w:val="1"/>
      <w:numFmt w:val="lowerRoman"/>
      <w:lvlText w:val="%3."/>
      <w:lvlJc w:val="right"/>
      <w:pPr>
        <w:ind w:left="2619" w:hanging="180"/>
      </w:pPr>
    </w:lvl>
    <w:lvl w:ilvl="3" w:tplc="0809000F" w:tentative="1">
      <w:start w:val="1"/>
      <w:numFmt w:val="decimal"/>
      <w:lvlText w:val="%4."/>
      <w:lvlJc w:val="left"/>
      <w:pPr>
        <w:ind w:left="3339" w:hanging="360"/>
      </w:pPr>
    </w:lvl>
    <w:lvl w:ilvl="4" w:tplc="08090019" w:tentative="1">
      <w:start w:val="1"/>
      <w:numFmt w:val="lowerLetter"/>
      <w:lvlText w:val="%5."/>
      <w:lvlJc w:val="left"/>
      <w:pPr>
        <w:ind w:left="4059" w:hanging="360"/>
      </w:pPr>
    </w:lvl>
    <w:lvl w:ilvl="5" w:tplc="0809001B" w:tentative="1">
      <w:start w:val="1"/>
      <w:numFmt w:val="lowerRoman"/>
      <w:lvlText w:val="%6."/>
      <w:lvlJc w:val="right"/>
      <w:pPr>
        <w:ind w:left="4779" w:hanging="180"/>
      </w:pPr>
    </w:lvl>
    <w:lvl w:ilvl="6" w:tplc="0809000F" w:tentative="1">
      <w:start w:val="1"/>
      <w:numFmt w:val="decimal"/>
      <w:lvlText w:val="%7."/>
      <w:lvlJc w:val="left"/>
      <w:pPr>
        <w:ind w:left="5499" w:hanging="360"/>
      </w:pPr>
    </w:lvl>
    <w:lvl w:ilvl="7" w:tplc="08090019" w:tentative="1">
      <w:start w:val="1"/>
      <w:numFmt w:val="lowerLetter"/>
      <w:lvlText w:val="%8."/>
      <w:lvlJc w:val="left"/>
      <w:pPr>
        <w:ind w:left="6219" w:hanging="360"/>
      </w:pPr>
    </w:lvl>
    <w:lvl w:ilvl="8" w:tplc="08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9" w15:restartNumberingAfterBreak="0">
    <w:nsid w:val="778E4D1C"/>
    <w:multiLevelType w:val="multilevel"/>
    <w:tmpl w:val="7D7CA560"/>
    <w:numStyleLink w:val="NumberedBulletsList"/>
  </w:abstractNum>
  <w:abstractNum w:abstractNumId="30" w15:restartNumberingAfterBreak="0">
    <w:nsid w:val="7BEC52CB"/>
    <w:multiLevelType w:val="hybridMultilevel"/>
    <w:tmpl w:val="E7FC36D4"/>
    <w:lvl w:ilvl="0" w:tplc="0809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1" w15:restartNumberingAfterBreak="0">
    <w:nsid w:val="7D7B1A5F"/>
    <w:multiLevelType w:val="multilevel"/>
    <w:tmpl w:val="F814C4EC"/>
    <w:lvl w:ilvl="0">
      <w:start w:val="1"/>
      <w:numFmt w:val="decimal"/>
      <w:pStyle w:val="SectionNumber"/>
      <w:lvlText w:val="%1"/>
      <w:lvlJc w:val="left"/>
      <w:pPr>
        <w:ind w:left="567" w:hanging="567"/>
      </w:pPr>
      <w:rPr>
        <w:rFonts w:asciiTheme="majorHAnsi" w:hAnsiTheme="majorHAnsi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3"/>
      <w:numFmt w:val="decimal"/>
      <w:isLgl/>
      <w:lvlText w:val="%1.%2"/>
      <w:lvlJc w:val="left"/>
      <w:pPr>
        <w:ind w:left="2160" w:hanging="21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36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680" w:hanging="46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20" w:hanging="61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0" w:hanging="7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40" w:hanging="86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720" w:hanging="97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160" w:hanging="11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19"/>
  </w:num>
  <w:num w:numId="13">
    <w:abstractNumId w:val="31"/>
  </w:num>
  <w:num w:numId="14">
    <w:abstractNumId w:val="11"/>
  </w:num>
  <w:num w:numId="15">
    <w:abstractNumId w:val="29"/>
  </w:num>
  <w:num w:numId="16">
    <w:abstractNumId w:val="15"/>
  </w:num>
  <w:num w:numId="17">
    <w:abstractNumId w:val="14"/>
  </w:num>
  <w:num w:numId="18">
    <w:abstractNumId w:val="20"/>
  </w:num>
  <w:num w:numId="19">
    <w:abstractNumId w:val="13"/>
  </w:num>
  <w:num w:numId="20">
    <w:abstractNumId w:val="17"/>
  </w:num>
  <w:num w:numId="21">
    <w:abstractNumId w:val="10"/>
  </w:num>
  <w:num w:numId="22">
    <w:abstractNumId w:val="21"/>
  </w:num>
  <w:num w:numId="23">
    <w:abstractNumId w:val="28"/>
  </w:num>
  <w:num w:numId="24">
    <w:abstractNumId w:val="24"/>
  </w:num>
  <w:num w:numId="25">
    <w:abstractNumId w:val="16"/>
  </w:num>
  <w:num w:numId="26">
    <w:abstractNumId w:val="25"/>
  </w:num>
  <w:num w:numId="27">
    <w:abstractNumId w:val="23"/>
  </w:num>
  <w:num w:numId="28">
    <w:abstractNumId w:val="18"/>
  </w:num>
  <w:num w:numId="29">
    <w:abstractNumId w:val="12"/>
  </w:num>
  <w:num w:numId="30">
    <w:abstractNumId w:val="22"/>
  </w:num>
  <w:num w:numId="31">
    <w:abstractNumId w:val="27"/>
  </w:num>
  <w:num w:numId="32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9F3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1E97"/>
    <w:rsid w:val="0003395B"/>
    <w:rsid w:val="0003496C"/>
    <w:rsid w:val="00034DE8"/>
    <w:rsid w:val="00036E0D"/>
    <w:rsid w:val="00036ECA"/>
    <w:rsid w:val="00037D0E"/>
    <w:rsid w:val="00041822"/>
    <w:rsid w:val="0004185A"/>
    <w:rsid w:val="00041BFC"/>
    <w:rsid w:val="000421C8"/>
    <w:rsid w:val="0004277D"/>
    <w:rsid w:val="00044DA4"/>
    <w:rsid w:val="0004599D"/>
    <w:rsid w:val="000501BC"/>
    <w:rsid w:val="00051747"/>
    <w:rsid w:val="00053545"/>
    <w:rsid w:val="00055072"/>
    <w:rsid w:val="000556E6"/>
    <w:rsid w:val="00060FB6"/>
    <w:rsid w:val="00061FBD"/>
    <w:rsid w:val="00062681"/>
    <w:rsid w:val="00062B8A"/>
    <w:rsid w:val="00062D1B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595D"/>
    <w:rsid w:val="00076586"/>
    <w:rsid w:val="000772BB"/>
    <w:rsid w:val="00081106"/>
    <w:rsid w:val="000814BD"/>
    <w:rsid w:val="000816B3"/>
    <w:rsid w:val="000816F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609C"/>
    <w:rsid w:val="000966D4"/>
    <w:rsid w:val="00097FED"/>
    <w:rsid w:val="000A1C65"/>
    <w:rsid w:val="000A2C20"/>
    <w:rsid w:val="000A3588"/>
    <w:rsid w:val="000A4598"/>
    <w:rsid w:val="000A4F99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366"/>
    <w:rsid w:val="000C0D0A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D6FB2"/>
    <w:rsid w:val="000E055C"/>
    <w:rsid w:val="000E068A"/>
    <w:rsid w:val="000E1ECB"/>
    <w:rsid w:val="000E2331"/>
    <w:rsid w:val="000E3824"/>
    <w:rsid w:val="000E43B5"/>
    <w:rsid w:val="000E496F"/>
    <w:rsid w:val="000E4C7B"/>
    <w:rsid w:val="000E5122"/>
    <w:rsid w:val="000E6380"/>
    <w:rsid w:val="000E6C6B"/>
    <w:rsid w:val="000E74B9"/>
    <w:rsid w:val="000F033D"/>
    <w:rsid w:val="000F0452"/>
    <w:rsid w:val="000F120C"/>
    <w:rsid w:val="000F224C"/>
    <w:rsid w:val="000F3A33"/>
    <w:rsid w:val="000F3E38"/>
    <w:rsid w:val="000F5DF1"/>
    <w:rsid w:val="000F65D6"/>
    <w:rsid w:val="000F67B8"/>
    <w:rsid w:val="001007CC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4E29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505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0B53"/>
    <w:rsid w:val="001510CA"/>
    <w:rsid w:val="0015164E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F1C"/>
    <w:rsid w:val="00167F6A"/>
    <w:rsid w:val="00170B39"/>
    <w:rsid w:val="0017122F"/>
    <w:rsid w:val="001722A3"/>
    <w:rsid w:val="00172340"/>
    <w:rsid w:val="0017274A"/>
    <w:rsid w:val="00172FD4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A37"/>
    <w:rsid w:val="00195C2B"/>
    <w:rsid w:val="00196281"/>
    <w:rsid w:val="0019677B"/>
    <w:rsid w:val="001A0E5B"/>
    <w:rsid w:val="001A170B"/>
    <w:rsid w:val="001A24B0"/>
    <w:rsid w:val="001A3BE2"/>
    <w:rsid w:val="001A466F"/>
    <w:rsid w:val="001A4EB3"/>
    <w:rsid w:val="001A574A"/>
    <w:rsid w:val="001B10F1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C7811"/>
    <w:rsid w:val="001D00F7"/>
    <w:rsid w:val="001D14F7"/>
    <w:rsid w:val="001D26B9"/>
    <w:rsid w:val="001D2FA5"/>
    <w:rsid w:val="001D682C"/>
    <w:rsid w:val="001E2110"/>
    <w:rsid w:val="001E2E4F"/>
    <w:rsid w:val="001E372F"/>
    <w:rsid w:val="001E4924"/>
    <w:rsid w:val="001E54FC"/>
    <w:rsid w:val="001E6636"/>
    <w:rsid w:val="001E74F3"/>
    <w:rsid w:val="001E7752"/>
    <w:rsid w:val="001F04C9"/>
    <w:rsid w:val="001F101E"/>
    <w:rsid w:val="001F1748"/>
    <w:rsid w:val="001F2139"/>
    <w:rsid w:val="001F59CD"/>
    <w:rsid w:val="001F5C10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3C17"/>
    <w:rsid w:val="0023612C"/>
    <w:rsid w:val="00236931"/>
    <w:rsid w:val="00236F2D"/>
    <w:rsid w:val="0024092B"/>
    <w:rsid w:val="00240AA7"/>
    <w:rsid w:val="00240BBA"/>
    <w:rsid w:val="0024129E"/>
    <w:rsid w:val="00241AA1"/>
    <w:rsid w:val="00241B4F"/>
    <w:rsid w:val="00244CDF"/>
    <w:rsid w:val="00246FF1"/>
    <w:rsid w:val="00251245"/>
    <w:rsid w:val="00251AC7"/>
    <w:rsid w:val="00251EF1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2337"/>
    <w:rsid w:val="00273931"/>
    <w:rsid w:val="00274E94"/>
    <w:rsid w:val="00274FB1"/>
    <w:rsid w:val="0027568B"/>
    <w:rsid w:val="00275D22"/>
    <w:rsid w:val="00275E09"/>
    <w:rsid w:val="00276BA1"/>
    <w:rsid w:val="00276D70"/>
    <w:rsid w:val="00277702"/>
    <w:rsid w:val="002778F6"/>
    <w:rsid w:val="00277B32"/>
    <w:rsid w:val="00280106"/>
    <w:rsid w:val="00281809"/>
    <w:rsid w:val="002819F4"/>
    <w:rsid w:val="00281AB6"/>
    <w:rsid w:val="00281CDF"/>
    <w:rsid w:val="002827FE"/>
    <w:rsid w:val="00282A6B"/>
    <w:rsid w:val="00284A52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3344"/>
    <w:rsid w:val="0029334F"/>
    <w:rsid w:val="00293E01"/>
    <w:rsid w:val="0029478F"/>
    <w:rsid w:val="002968DD"/>
    <w:rsid w:val="00297C15"/>
    <w:rsid w:val="002A21AE"/>
    <w:rsid w:val="002A3B27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C112B"/>
    <w:rsid w:val="002C1211"/>
    <w:rsid w:val="002C1261"/>
    <w:rsid w:val="002C2938"/>
    <w:rsid w:val="002C3A7C"/>
    <w:rsid w:val="002C3C01"/>
    <w:rsid w:val="002C4AC0"/>
    <w:rsid w:val="002C4BAB"/>
    <w:rsid w:val="002C67B0"/>
    <w:rsid w:val="002C7A80"/>
    <w:rsid w:val="002D02A7"/>
    <w:rsid w:val="002D02FA"/>
    <w:rsid w:val="002D2CE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E39B5"/>
    <w:rsid w:val="002F0BF8"/>
    <w:rsid w:val="002F2080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4F2"/>
    <w:rsid w:val="00310AB7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30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5FD8"/>
    <w:rsid w:val="003463ED"/>
    <w:rsid w:val="00347736"/>
    <w:rsid w:val="003479D4"/>
    <w:rsid w:val="003524B1"/>
    <w:rsid w:val="0035258D"/>
    <w:rsid w:val="003526B2"/>
    <w:rsid w:val="00352846"/>
    <w:rsid w:val="003528CD"/>
    <w:rsid w:val="003530E1"/>
    <w:rsid w:val="003550C3"/>
    <w:rsid w:val="0035561E"/>
    <w:rsid w:val="00357149"/>
    <w:rsid w:val="0036093F"/>
    <w:rsid w:val="00360E0D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3EEE"/>
    <w:rsid w:val="003A458E"/>
    <w:rsid w:val="003A4C44"/>
    <w:rsid w:val="003A69ED"/>
    <w:rsid w:val="003B23D7"/>
    <w:rsid w:val="003B2874"/>
    <w:rsid w:val="003B3803"/>
    <w:rsid w:val="003B5C8F"/>
    <w:rsid w:val="003B60A0"/>
    <w:rsid w:val="003B6831"/>
    <w:rsid w:val="003B6A3F"/>
    <w:rsid w:val="003B6D10"/>
    <w:rsid w:val="003B78A7"/>
    <w:rsid w:val="003B79DF"/>
    <w:rsid w:val="003C53ED"/>
    <w:rsid w:val="003D01FA"/>
    <w:rsid w:val="003D057F"/>
    <w:rsid w:val="003D634B"/>
    <w:rsid w:val="003D6B83"/>
    <w:rsid w:val="003E09BC"/>
    <w:rsid w:val="003E0A82"/>
    <w:rsid w:val="003E245C"/>
    <w:rsid w:val="003E2DA4"/>
    <w:rsid w:val="003E300B"/>
    <w:rsid w:val="003E4524"/>
    <w:rsid w:val="003E59AF"/>
    <w:rsid w:val="003E780E"/>
    <w:rsid w:val="003F10DC"/>
    <w:rsid w:val="003F3C92"/>
    <w:rsid w:val="003F4485"/>
    <w:rsid w:val="003F699C"/>
    <w:rsid w:val="00400625"/>
    <w:rsid w:val="00400E68"/>
    <w:rsid w:val="004011DE"/>
    <w:rsid w:val="00401532"/>
    <w:rsid w:val="00401DC8"/>
    <w:rsid w:val="00402213"/>
    <w:rsid w:val="00402C56"/>
    <w:rsid w:val="00403161"/>
    <w:rsid w:val="00404065"/>
    <w:rsid w:val="0040422E"/>
    <w:rsid w:val="00405212"/>
    <w:rsid w:val="004053E3"/>
    <w:rsid w:val="004132D1"/>
    <w:rsid w:val="00413956"/>
    <w:rsid w:val="00413CEE"/>
    <w:rsid w:val="004140D9"/>
    <w:rsid w:val="0041583A"/>
    <w:rsid w:val="00415A85"/>
    <w:rsid w:val="00416E60"/>
    <w:rsid w:val="0041718A"/>
    <w:rsid w:val="004207C1"/>
    <w:rsid w:val="00420DE8"/>
    <w:rsid w:val="00423DA3"/>
    <w:rsid w:val="00424A7D"/>
    <w:rsid w:val="00424DDB"/>
    <w:rsid w:val="00424FCC"/>
    <w:rsid w:val="00425059"/>
    <w:rsid w:val="00426B39"/>
    <w:rsid w:val="00426F5C"/>
    <w:rsid w:val="00427EE0"/>
    <w:rsid w:val="0043335D"/>
    <w:rsid w:val="0043353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5745"/>
    <w:rsid w:val="00446CE9"/>
    <w:rsid w:val="004474EE"/>
    <w:rsid w:val="00450377"/>
    <w:rsid w:val="00450AA5"/>
    <w:rsid w:val="00450AB3"/>
    <w:rsid w:val="00450BA2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7D2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57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A74DA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0E8F"/>
    <w:rsid w:val="004C1619"/>
    <w:rsid w:val="004C1FF5"/>
    <w:rsid w:val="004C318D"/>
    <w:rsid w:val="004C4C01"/>
    <w:rsid w:val="004C5EA5"/>
    <w:rsid w:val="004C70EC"/>
    <w:rsid w:val="004C7495"/>
    <w:rsid w:val="004C7C6A"/>
    <w:rsid w:val="004D0A0E"/>
    <w:rsid w:val="004D234A"/>
    <w:rsid w:val="004D277D"/>
    <w:rsid w:val="004D284B"/>
    <w:rsid w:val="004D2C68"/>
    <w:rsid w:val="004D320E"/>
    <w:rsid w:val="004D5006"/>
    <w:rsid w:val="004D7FE4"/>
    <w:rsid w:val="004E0492"/>
    <w:rsid w:val="004E076E"/>
    <w:rsid w:val="004E0C02"/>
    <w:rsid w:val="004E30DC"/>
    <w:rsid w:val="004E34A5"/>
    <w:rsid w:val="004E436B"/>
    <w:rsid w:val="004E4B89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9ED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368FE"/>
    <w:rsid w:val="00540390"/>
    <w:rsid w:val="00541600"/>
    <w:rsid w:val="00541E47"/>
    <w:rsid w:val="00543B47"/>
    <w:rsid w:val="005441CC"/>
    <w:rsid w:val="00544DBC"/>
    <w:rsid w:val="005453C4"/>
    <w:rsid w:val="00545F4B"/>
    <w:rsid w:val="005479AB"/>
    <w:rsid w:val="00551385"/>
    <w:rsid w:val="0055236E"/>
    <w:rsid w:val="005526FA"/>
    <w:rsid w:val="00552DB7"/>
    <w:rsid w:val="00553ABF"/>
    <w:rsid w:val="00554020"/>
    <w:rsid w:val="00554B50"/>
    <w:rsid w:val="005553E5"/>
    <w:rsid w:val="00555ABA"/>
    <w:rsid w:val="005565D4"/>
    <w:rsid w:val="00556994"/>
    <w:rsid w:val="005569D1"/>
    <w:rsid w:val="00556F2E"/>
    <w:rsid w:val="005607CA"/>
    <w:rsid w:val="00561290"/>
    <w:rsid w:val="00561432"/>
    <w:rsid w:val="0056170E"/>
    <w:rsid w:val="005620A3"/>
    <w:rsid w:val="005625B8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6B9"/>
    <w:rsid w:val="0059487D"/>
    <w:rsid w:val="00595AA9"/>
    <w:rsid w:val="00596E08"/>
    <w:rsid w:val="00597513"/>
    <w:rsid w:val="005A1824"/>
    <w:rsid w:val="005A1A56"/>
    <w:rsid w:val="005A241E"/>
    <w:rsid w:val="005A3718"/>
    <w:rsid w:val="005A4B61"/>
    <w:rsid w:val="005A53E0"/>
    <w:rsid w:val="005A5538"/>
    <w:rsid w:val="005A593C"/>
    <w:rsid w:val="005A683D"/>
    <w:rsid w:val="005A6E98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3C21"/>
    <w:rsid w:val="005C5728"/>
    <w:rsid w:val="005C57DB"/>
    <w:rsid w:val="005C7EE5"/>
    <w:rsid w:val="005D0442"/>
    <w:rsid w:val="005D0750"/>
    <w:rsid w:val="005D0BC3"/>
    <w:rsid w:val="005D11B0"/>
    <w:rsid w:val="005D27E5"/>
    <w:rsid w:val="005D2C9F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49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687A"/>
    <w:rsid w:val="0061022B"/>
    <w:rsid w:val="00610A63"/>
    <w:rsid w:val="006114A6"/>
    <w:rsid w:val="00611B4B"/>
    <w:rsid w:val="00613156"/>
    <w:rsid w:val="00616976"/>
    <w:rsid w:val="00616D69"/>
    <w:rsid w:val="006172D9"/>
    <w:rsid w:val="00621DC9"/>
    <w:rsid w:val="00622179"/>
    <w:rsid w:val="00624624"/>
    <w:rsid w:val="00624B10"/>
    <w:rsid w:val="0062521E"/>
    <w:rsid w:val="00625C5D"/>
    <w:rsid w:val="00626085"/>
    <w:rsid w:val="006264D8"/>
    <w:rsid w:val="00627095"/>
    <w:rsid w:val="0063061C"/>
    <w:rsid w:val="00631F40"/>
    <w:rsid w:val="00632488"/>
    <w:rsid w:val="006324E6"/>
    <w:rsid w:val="00632545"/>
    <w:rsid w:val="006325D5"/>
    <w:rsid w:val="00637248"/>
    <w:rsid w:val="006405DF"/>
    <w:rsid w:val="00642453"/>
    <w:rsid w:val="00643F1F"/>
    <w:rsid w:val="006477C2"/>
    <w:rsid w:val="00647811"/>
    <w:rsid w:val="00651070"/>
    <w:rsid w:val="00651BA4"/>
    <w:rsid w:val="00652665"/>
    <w:rsid w:val="0065295B"/>
    <w:rsid w:val="0065318E"/>
    <w:rsid w:val="0065406D"/>
    <w:rsid w:val="0065429A"/>
    <w:rsid w:val="0065525D"/>
    <w:rsid w:val="0066266B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A15"/>
    <w:rsid w:val="00684038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4FB"/>
    <w:rsid w:val="006A69E4"/>
    <w:rsid w:val="006A7045"/>
    <w:rsid w:val="006B1034"/>
    <w:rsid w:val="006B53A9"/>
    <w:rsid w:val="006B573D"/>
    <w:rsid w:val="006B59DF"/>
    <w:rsid w:val="006B675C"/>
    <w:rsid w:val="006B69AD"/>
    <w:rsid w:val="006B74A5"/>
    <w:rsid w:val="006B7567"/>
    <w:rsid w:val="006C0325"/>
    <w:rsid w:val="006C19F9"/>
    <w:rsid w:val="006C1CD5"/>
    <w:rsid w:val="006C203F"/>
    <w:rsid w:val="006C2B51"/>
    <w:rsid w:val="006C347F"/>
    <w:rsid w:val="006C34E5"/>
    <w:rsid w:val="006C365B"/>
    <w:rsid w:val="006C42A1"/>
    <w:rsid w:val="006C4CF8"/>
    <w:rsid w:val="006D24BA"/>
    <w:rsid w:val="006D4919"/>
    <w:rsid w:val="006D6073"/>
    <w:rsid w:val="006D6266"/>
    <w:rsid w:val="006D6E17"/>
    <w:rsid w:val="006E055E"/>
    <w:rsid w:val="006E0E6C"/>
    <w:rsid w:val="006E1030"/>
    <w:rsid w:val="006E5041"/>
    <w:rsid w:val="006E6687"/>
    <w:rsid w:val="006E7597"/>
    <w:rsid w:val="006F1BB7"/>
    <w:rsid w:val="006F2FDC"/>
    <w:rsid w:val="006F3204"/>
    <w:rsid w:val="006F3637"/>
    <w:rsid w:val="006F37D9"/>
    <w:rsid w:val="006F3FC7"/>
    <w:rsid w:val="006F4409"/>
    <w:rsid w:val="006F4CCF"/>
    <w:rsid w:val="006F4F97"/>
    <w:rsid w:val="006F5364"/>
    <w:rsid w:val="006F59DC"/>
    <w:rsid w:val="006F6119"/>
    <w:rsid w:val="006F6E18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6C87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67F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8D3"/>
    <w:rsid w:val="00761C38"/>
    <w:rsid w:val="00763CC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77517"/>
    <w:rsid w:val="00780BC3"/>
    <w:rsid w:val="00780EEC"/>
    <w:rsid w:val="007820C9"/>
    <w:rsid w:val="00782244"/>
    <w:rsid w:val="00783E9A"/>
    <w:rsid w:val="007848A7"/>
    <w:rsid w:val="0078549F"/>
    <w:rsid w:val="0078636B"/>
    <w:rsid w:val="00786CFE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627B"/>
    <w:rsid w:val="00797132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261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1705"/>
    <w:rsid w:val="007C2500"/>
    <w:rsid w:val="007C4D8A"/>
    <w:rsid w:val="007C51CD"/>
    <w:rsid w:val="007D025A"/>
    <w:rsid w:val="007D0EA0"/>
    <w:rsid w:val="007D0F6C"/>
    <w:rsid w:val="007D1A21"/>
    <w:rsid w:val="007D2B50"/>
    <w:rsid w:val="007D4D2F"/>
    <w:rsid w:val="007D706B"/>
    <w:rsid w:val="007E09AC"/>
    <w:rsid w:val="007E1EF0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7F7B7C"/>
    <w:rsid w:val="00801E7C"/>
    <w:rsid w:val="008040A5"/>
    <w:rsid w:val="00804C27"/>
    <w:rsid w:val="00804F2C"/>
    <w:rsid w:val="00805FAF"/>
    <w:rsid w:val="008060A0"/>
    <w:rsid w:val="00806C71"/>
    <w:rsid w:val="00810680"/>
    <w:rsid w:val="00813825"/>
    <w:rsid w:val="008143E1"/>
    <w:rsid w:val="00814AC3"/>
    <w:rsid w:val="00814BCA"/>
    <w:rsid w:val="008161CC"/>
    <w:rsid w:val="008162AF"/>
    <w:rsid w:val="00816643"/>
    <w:rsid w:val="008167AC"/>
    <w:rsid w:val="00817104"/>
    <w:rsid w:val="00817F49"/>
    <w:rsid w:val="00821052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2B0B"/>
    <w:rsid w:val="00833EA4"/>
    <w:rsid w:val="00833FBE"/>
    <w:rsid w:val="00834E10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56AD2"/>
    <w:rsid w:val="008600C7"/>
    <w:rsid w:val="00861F86"/>
    <w:rsid w:val="00862888"/>
    <w:rsid w:val="00863B8C"/>
    <w:rsid w:val="00864330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1EC"/>
    <w:rsid w:val="008769E9"/>
    <w:rsid w:val="00876B4B"/>
    <w:rsid w:val="008772DD"/>
    <w:rsid w:val="008803F2"/>
    <w:rsid w:val="0088077B"/>
    <w:rsid w:val="00880C66"/>
    <w:rsid w:val="00881147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56B9"/>
    <w:rsid w:val="008964B9"/>
    <w:rsid w:val="008A075A"/>
    <w:rsid w:val="008A0AAC"/>
    <w:rsid w:val="008A190E"/>
    <w:rsid w:val="008A19A2"/>
    <w:rsid w:val="008A1C18"/>
    <w:rsid w:val="008A2F69"/>
    <w:rsid w:val="008A39A9"/>
    <w:rsid w:val="008A4B98"/>
    <w:rsid w:val="008A5B7B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76E8"/>
    <w:rsid w:val="008B7714"/>
    <w:rsid w:val="008C0068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1748"/>
    <w:rsid w:val="008E277F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3C6"/>
    <w:rsid w:val="008F766D"/>
    <w:rsid w:val="008F77DF"/>
    <w:rsid w:val="008F7E26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52E8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922"/>
    <w:rsid w:val="009420D8"/>
    <w:rsid w:val="009427FA"/>
    <w:rsid w:val="0094430D"/>
    <w:rsid w:val="00945D30"/>
    <w:rsid w:val="009470F9"/>
    <w:rsid w:val="00947B08"/>
    <w:rsid w:val="00950EAD"/>
    <w:rsid w:val="00951338"/>
    <w:rsid w:val="0095157D"/>
    <w:rsid w:val="00951A9F"/>
    <w:rsid w:val="00951CDE"/>
    <w:rsid w:val="0095324B"/>
    <w:rsid w:val="009547C9"/>
    <w:rsid w:val="00960CC3"/>
    <w:rsid w:val="00961302"/>
    <w:rsid w:val="00961C27"/>
    <w:rsid w:val="00961FD5"/>
    <w:rsid w:val="00962A4A"/>
    <w:rsid w:val="00962DA9"/>
    <w:rsid w:val="00962E0D"/>
    <w:rsid w:val="00964581"/>
    <w:rsid w:val="00967C5E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0BC"/>
    <w:rsid w:val="00980623"/>
    <w:rsid w:val="00982DB2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73A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1E0B"/>
    <w:rsid w:val="009B2A7A"/>
    <w:rsid w:val="009B40EB"/>
    <w:rsid w:val="009B5B37"/>
    <w:rsid w:val="009B61F7"/>
    <w:rsid w:val="009B6F65"/>
    <w:rsid w:val="009B733C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0841"/>
    <w:rsid w:val="009D189B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E7F19"/>
    <w:rsid w:val="009F073A"/>
    <w:rsid w:val="009F3A22"/>
    <w:rsid w:val="009F3D72"/>
    <w:rsid w:val="009F4258"/>
    <w:rsid w:val="009F5202"/>
    <w:rsid w:val="009F55E1"/>
    <w:rsid w:val="009F5E90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2D3C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49F3"/>
    <w:rsid w:val="00A34DAA"/>
    <w:rsid w:val="00A35211"/>
    <w:rsid w:val="00A35D24"/>
    <w:rsid w:val="00A36A02"/>
    <w:rsid w:val="00A37C18"/>
    <w:rsid w:val="00A40213"/>
    <w:rsid w:val="00A40BFE"/>
    <w:rsid w:val="00A430BD"/>
    <w:rsid w:val="00A448EB"/>
    <w:rsid w:val="00A47633"/>
    <w:rsid w:val="00A51355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11C"/>
    <w:rsid w:val="00A72448"/>
    <w:rsid w:val="00A72545"/>
    <w:rsid w:val="00A747CE"/>
    <w:rsid w:val="00A74C1D"/>
    <w:rsid w:val="00A7636B"/>
    <w:rsid w:val="00A76D95"/>
    <w:rsid w:val="00A77D5B"/>
    <w:rsid w:val="00A81CED"/>
    <w:rsid w:val="00A82AA6"/>
    <w:rsid w:val="00A85844"/>
    <w:rsid w:val="00A86291"/>
    <w:rsid w:val="00A87456"/>
    <w:rsid w:val="00A87471"/>
    <w:rsid w:val="00A8770E"/>
    <w:rsid w:val="00A907DE"/>
    <w:rsid w:val="00A90FC5"/>
    <w:rsid w:val="00A92B7E"/>
    <w:rsid w:val="00A92CD9"/>
    <w:rsid w:val="00A938C7"/>
    <w:rsid w:val="00A950D6"/>
    <w:rsid w:val="00A95EB0"/>
    <w:rsid w:val="00A967FD"/>
    <w:rsid w:val="00A97281"/>
    <w:rsid w:val="00AA0280"/>
    <w:rsid w:val="00AA1F95"/>
    <w:rsid w:val="00AA640B"/>
    <w:rsid w:val="00AA7BEB"/>
    <w:rsid w:val="00AB05A1"/>
    <w:rsid w:val="00AB081E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C7ABD"/>
    <w:rsid w:val="00AD2BDC"/>
    <w:rsid w:val="00AD3224"/>
    <w:rsid w:val="00AD3CA9"/>
    <w:rsid w:val="00AD43E2"/>
    <w:rsid w:val="00AD5D5A"/>
    <w:rsid w:val="00AD70D4"/>
    <w:rsid w:val="00AE05E6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5CAC"/>
    <w:rsid w:val="00B071E3"/>
    <w:rsid w:val="00B07CBE"/>
    <w:rsid w:val="00B07F0B"/>
    <w:rsid w:val="00B1046F"/>
    <w:rsid w:val="00B10E47"/>
    <w:rsid w:val="00B11129"/>
    <w:rsid w:val="00B11557"/>
    <w:rsid w:val="00B123DD"/>
    <w:rsid w:val="00B127D9"/>
    <w:rsid w:val="00B12CFD"/>
    <w:rsid w:val="00B1452D"/>
    <w:rsid w:val="00B1499F"/>
    <w:rsid w:val="00B150A1"/>
    <w:rsid w:val="00B16FC9"/>
    <w:rsid w:val="00B2187B"/>
    <w:rsid w:val="00B22EE9"/>
    <w:rsid w:val="00B236EE"/>
    <w:rsid w:val="00B237E4"/>
    <w:rsid w:val="00B24CD3"/>
    <w:rsid w:val="00B2625A"/>
    <w:rsid w:val="00B2661E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4981"/>
    <w:rsid w:val="00B46B21"/>
    <w:rsid w:val="00B47721"/>
    <w:rsid w:val="00B51375"/>
    <w:rsid w:val="00B52450"/>
    <w:rsid w:val="00B528EA"/>
    <w:rsid w:val="00B54EFE"/>
    <w:rsid w:val="00B552D5"/>
    <w:rsid w:val="00B55BEB"/>
    <w:rsid w:val="00B60E8B"/>
    <w:rsid w:val="00B6242E"/>
    <w:rsid w:val="00B64D66"/>
    <w:rsid w:val="00B6717B"/>
    <w:rsid w:val="00B71156"/>
    <w:rsid w:val="00B721ED"/>
    <w:rsid w:val="00B73DF8"/>
    <w:rsid w:val="00B7445D"/>
    <w:rsid w:val="00B74EB4"/>
    <w:rsid w:val="00B763EA"/>
    <w:rsid w:val="00B81592"/>
    <w:rsid w:val="00B81B6D"/>
    <w:rsid w:val="00B844C6"/>
    <w:rsid w:val="00B87308"/>
    <w:rsid w:val="00B915C1"/>
    <w:rsid w:val="00B91B8A"/>
    <w:rsid w:val="00B936C7"/>
    <w:rsid w:val="00B93772"/>
    <w:rsid w:val="00B937ED"/>
    <w:rsid w:val="00B938C1"/>
    <w:rsid w:val="00B93F1B"/>
    <w:rsid w:val="00B946D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377"/>
    <w:rsid w:val="00BB755E"/>
    <w:rsid w:val="00BC099D"/>
    <w:rsid w:val="00BC0E63"/>
    <w:rsid w:val="00BC1019"/>
    <w:rsid w:val="00BC1612"/>
    <w:rsid w:val="00BC249A"/>
    <w:rsid w:val="00BC38BC"/>
    <w:rsid w:val="00BC4850"/>
    <w:rsid w:val="00BC5671"/>
    <w:rsid w:val="00BC5898"/>
    <w:rsid w:val="00BC61C9"/>
    <w:rsid w:val="00BC65EE"/>
    <w:rsid w:val="00BC6C37"/>
    <w:rsid w:val="00BC7C9B"/>
    <w:rsid w:val="00BD09C8"/>
    <w:rsid w:val="00BD0C0B"/>
    <w:rsid w:val="00BD13AB"/>
    <w:rsid w:val="00BD4193"/>
    <w:rsid w:val="00BD41E7"/>
    <w:rsid w:val="00BD48DD"/>
    <w:rsid w:val="00BD65FB"/>
    <w:rsid w:val="00BD6C40"/>
    <w:rsid w:val="00BE0163"/>
    <w:rsid w:val="00BE07E5"/>
    <w:rsid w:val="00BE1E7E"/>
    <w:rsid w:val="00BE1EF3"/>
    <w:rsid w:val="00BE355B"/>
    <w:rsid w:val="00BE3D3C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871"/>
    <w:rsid w:val="00C17664"/>
    <w:rsid w:val="00C17EB3"/>
    <w:rsid w:val="00C231A3"/>
    <w:rsid w:val="00C2348B"/>
    <w:rsid w:val="00C23A3B"/>
    <w:rsid w:val="00C23DF3"/>
    <w:rsid w:val="00C23EC0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5842"/>
    <w:rsid w:val="00C56DB8"/>
    <w:rsid w:val="00C57335"/>
    <w:rsid w:val="00C60C17"/>
    <w:rsid w:val="00C6132C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96E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CDD"/>
    <w:rsid w:val="00C91224"/>
    <w:rsid w:val="00C950D4"/>
    <w:rsid w:val="00C952D5"/>
    <w:rsid w:val="00CA01C4"/>
    <w:rsid w:val="00CA086E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CC3"/>
    <w:rsid w:val="00CB5F37"/>
    <w:rsid w:val="00CC089A"/>
    <w:rsid w:val="00CC20BD"/>
    <w:rsid w:val="00CC395E"/>
    <w:rsid w:val="00CC4463"/>
    <w:rsid w:val="00CC5851"/>
    <w:rsid w:val="00CC6CF9"/>
    <w:rsid w:val="00CC79FC"/>
    <w:rsid w:val="00CD1230"/>
    <w:rsid w:val="00CD2FF6"/>
    <w:rsid w:val="00CD3860"/>
    <w:rsid w:val="00CD7050"/>
    <w:rsid w:val="00CD70A9"/>
    <w:rsid w:val="00CE13FA"/>
    <w:rsid w:val="00CE2694"/>
    <w:rsid w:val="00CE2E8D"/>
    <w:rsid w:val="00CE3DF9"/>
    <w:rsid w:val="00CE411E"/>
    <w:rsid w:val="00CE4789"/>
    <w:rsid w:val="00CE520B"/>
    <w:rsid w:val="00CE6C61"/>
    <w:rsid w:val="00CE77F6"/>
    <w:rsid w:val="00CE7C68"/>
    <w:rsid w:val="00CF1114"/>
    <w:rsid w:val="00CF1BD6"/>
    <w:rsid w:val="00CF248A"/>
    <w:rsid w:val="00CF2581"/>
    <w:rsid w:val="00CF337F"/>
    <w:rsid w:val="00CF3FAF"/>
    <w:rsid w:val="00CF4CF0"/>
    <w:rsid w:val="00CF5105"/>
    <w:rsid w:val="00CF6CB7"/>
    <w:rsid w:val="00CF7312"/>
    <w:rsid w:val="00D02531"/>
    <w:rsid w:val="00D02DDA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45FC"/>
    <w:rsid w:val="00D16096"/>
    <w:rsid w:val="00D163C8"/>
    <w:rsid w:val="00D1706F"/>
    <w:rsid w:val="00D2040D"/>
    <w:rsid w:val="00D216E6"/>
    <w:rsid w:val="00D2182C"/>
    <w:rsid w:val="00D23925"/>
    <w:rsid w:val="00D2454F"/>
    <w:rsid w:val="00D246CF"/>
    <w:rsid w:val="00D247C0"/>
    <w:rsid w:val="00D25A92"/>
    <w:rsid w:val="00D263AC"/>
    <w:rsid w:val="00D26403"/>
    <w:rsid w:val="00D26B3B"/>
    <w:rsid w:val="00D26D47"/>
    <w:rsid w:val="00D26DFC"/>
    <w:rsid w:val="00D27710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6F67"/>
    <w:rsid w:val="00D67A4C"/>
    <w:rsid w:val="00D708D1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80"/>
    <w:rsid w:val="00D856B2"/>
    <w:rsid w:val="00D856EB"/>
    <w:rsid w:val="00D857EE"/>
    <w:rsid w:val="00D90712"/>
    <w:rsid w:val="00D91DB1"/>
    <w:rsid w:val="00D94027"/>
    <w:rsid w:val="00D9443B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04F"/>
    <w:rsid w:val="00DA37BC"/>
    <w:rsid w:val="00DA454B"/>
    <w:rsid w:val="00DA4F32"/>
    <w:rsid w:val="00DA5EE8"/>
    <w:rsid w:val="00DA6CFF"/>
    <w:rsid w:val="00DA753F"/>
    <w:rsid w:val="00DA7625"/>
    <w:rsid w:val="00DA7793"/>
    <w:rsid w:val="00DA79A9"/>
    <w:rsid w:val="00DB04E5"/>
    <w:rsid w:val="00DB304A"/>
    <w:rsid w:val="00DB4920"/>
    <w:rsid w:val="00DB4A0A"/>
    <w:rsid w:val="00DB4FDE"/>
    <w:rsid w:val="00DB5744"/>
    <w:rsid w:val="00DB6DAB"/>
    <w:rsid w:val="00DB7E60"/>
    <w:rsid w:val="00DC2EC5"/>
    <w:rsid w:val="00DC6012"/>
    <w:rsid w:val="00DC7822"/>
    <w:rsid w:val="00DD248B"/>
    <w:rsid w:val="00DD3320"/>
    <w:rsid w:val="00DD3D94"/>
    <w:rsid w:val="00DD488A"/>
    <w:rsid w:val="00DD7DC6"/>
    <w:rsid w:val="00DE0684"/>
    <w:rsid w:val="00DE2149"/>
    <w:rsid w:val="00DE2854"/>
    <w:rsid w:val="00DE29C2"/>
    <w:rsid w:val="00DE326A"/>
    <w:rsid w:val="00DE52BF"/>
    <w:rsid w:val="00DE7D00"/>
    <w:rsid w:val="00DF09E2"/>
    <w:rsid w:val="00DF0F39"/>
    <w:rsid w:val="00DF3165"/>
    <w:rsid w:val="00DF371E"/>
    <w:rsid w:val="00DF6407"/>
    <w:rsid w:val="00DF6561"/>
    <w:rsid w:val="00DF6613"/>
    <w:rsid w:val="00E002D6"/>
    <w:rsid w:val="00E03154"/>
    <w:rsid w:val="00E039D5"/>
    <w:rsid w:val="00E03AEF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45B6"/>
    <w:rsid w:val="00E150E0"/>
    <w:rsid w:val="00E15B0E"/>
    <w:rsid w:val="00E15F79"/>
    <w:rsid w:val="00E20324"/>
    <w:rsid w:val="00E20A1E"/>
    <w:rsid w:val="00E25302"/>
    <w:rsid w:val="00E26A3B"/>
    <w:rsid w:val="00E305BA"/>
    <w:rsid w:val="00E30654"/>
    <w:rsid w:val="00E30E61"/>
    <w:rsid w:val="00E31C05"/>
    <w:rsid w:val="00E33CF1"/>
    <w:rsid w:val="00E33F7B"/>
    <w:rsid w:val="00E3415C"/>
    <w:rsid w:val="00E3428C"/>
    <w:rsid w:val="00E34546"/>
    <w:rsid w:val="00E37226"/>
    <w:rsid w:val="00E3735D"/>
    <w:rsid w:val="00E40E07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467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31E"/>
    <w:rsid w:val="00E90E29"/>
    <w:rsid w:val="00E92718"/>
    <w:rsid w:val="00E932E0"/>
    <w:rsid w:val="00E93A90"/>
    <w:rsid w:val="00E94720"/>
    <w:rsid w:val="00E96BBC"/>
    <w:rsid w:val="00E97DBE"/>
    <w:rsid w:val="00EA19D1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B68E1"/>
    <w:rsid w:val="00EC01C7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598"/>
    <w:rsid w:val="00EF0EC7"/>
    <w:rsid w:val="00EF2BA0"/>
    <w:rsid w:val="00EF2F36"/>
    <w:rsid w:val="00EF6D0B"/>
    <w:rsid w:val="00F00265"/>
    <w:rsid w:val="00F024CC"/>
    <w:rsid w:val="00F02534"/>
    <w:rsid w:val="00F04476"/>
    <w:rsid w:val="00F04A56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1C55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AE2"/>
    <w:rsid w:val="00F41D71"/>
    <w:rsid w:val="00F424BA"/>
    <w:rsid w:val="00F42BF9"/>
    <w:rsid w:val="00F42FE2"/>
    <w:rsid w:val="00F43A41"/>
    <w:rsid w:val="00F44304"/>
    <w:rsid w:val="00F4436D"/>
    <w:rsid w:val="00F44ADB"/>
    <w:rsid w:val="00F46312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662D"/>
    <w:rsid w:val="00F578E1"/>
    <w:rsid w:val="00F60A14"/>
    <w:rsid w:val="00F60ED0"/>
    <w:rsid w:val="00F61DBB"/>
    <w:rsid w:val="00F63702"/>
    <w:rsid w:val="00F6520E"/>
    <w:rsid w:val="00F65FDF"/>
    <w:rsid w:val="00F666EB"/>
    <w:rsid w:val="00F67189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2C30"/>
    <w:rsid w:val="00F9309F"/>
    <w:rsid w:val="00F935BD"/>
    <w:rsid w:val="00F93F0D"/>
    <w:rsid w:val="00F944FF"/>
    <w:rsid w:val="00F96670"/>
    <w:rsid w:val="00FA03BD"/>
    <w:rsid w:val="00FA0820"/>
    <w:rsid w:val="00FA2F35"/>
    <w:rsid w:val="00FA3158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01F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6346"/>
    <w:rsid w:val="00FD756F"/>
    <w:rsid w:val="00FE0634"/>
    <w:rsid w:val="00FE35D2"/>
    <w:rsid w:val="00FE443D"/>
    <w:rsid w:val="00FE5424"/>
    <w:rsid w:val="00FE694C"/>
    <w:rsid w:val="00FF0A71"/>
    <w:rsid w:val="00FF110E"/>
    <w:rsid w:val="00FF1C5F"/>
    <w:rsid w:val="00FF2443"/>
    <w:rsid w:val="00FF29A2"/>
    <w:rsid w:val="00FF3C2C"/>
    <w:rsid w:val="00FF40BD"/>
    <w:rsid w:val="00FF4518"/>
    <w:rsid w:val="00FF4603"/>
    <w:rsid w:val="00FF5332"/>
    <w:rsid w:val="00FF6CA9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638208B7"/>
  <w15:docId w15:val="{1F386B65-FE15-463F-A31D-74BCE73E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5" w:qFormat="1"/>
    <w:lsdException w:name="heading 5" w:semiHidden="1" w:uiPriority="25" w:unhideWhenUsed="1" w:qFormat="1"/>
    <w:lsdException w:name="heading 6" w:semiHidden="1" w:uiPriority="25" w:qFormat="1"/>
    <w:lsdException w:name="heading 7" w:semiHidden="1" w:uiPriority="25" w:qFormat="1"/>
    <w:lsdException w:name="heading 8" w:semiHidden="1" w:uiPriority="25" w:qFormat="1"/>
    <w:lsdException w:name="heading 9" w:semiHidden="1" w:uiPriority="25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03496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8956B9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8956B9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5"/>
    <w:semiHidden/>
    <w:qFormat/>
    <w:rsid w:val="00556994"/>
    <w:pPr>
      <w:keepNext/>
      <w:keepLines/>
      <w:numPr>
        <w:ilvl w:val="3"/>
        <w:numId w:val="16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5"/>
    <w:semiHidden/>
    <w:qFormat/>
    <w:rsid w:val="00182168"/>
    <w:pPr>
      <w:keepNext/>
      <w:keepLines/>
      <w:numPr>
        <w:ilvl w:val="4"/>
        <w:numId w:val="16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5"/>
    <w:semiHidden/>
    <w:qFormat/>
    <w:rsid w:val="007A0004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5"/>
    <w:semiHidden/>
    <w:qFormat/>
    <w:rsid w:val="007A0004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5"/>
    <w:semiHidden/>
    <w:qFormat/>
    <w:rsid w:val="007A0004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5"/>
    <w:semiHidden/>
    <w:qFormat/>
    <w:rsid w:val="007A0004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6F1BB7"/>
    <w:pPr>
      <w:keepNext/>
      <w:pageBreakBefore/>
      <w:framePr w:w="8732" w:wrap="notBeside" w:vAnchor="page" w:hAnchor="page" w:x="1589" w:y="772" w:anchorLock="1"/>
      <w:spacing w:before="240"/>
      <w:outlineLvl w:val="0"/>
    </w:pPr>
    <w:rPr>
      <w:rFonts w:asciiTheme="majorHAnsi" w:hAnsiTheme="majorHAnsi"/>
      <w:b/>
      <w:color w:val="F26522" w:themeColor="accent1"/>
      <w:sz w:val="48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Cover">
    <w:name w:val="Cover"/>
    <w:next w:val="CoverSubtitle"/>
    <w:uiPriority w:val="26"/>
    <w:qFormat/>
    <w:rsid w:val="00747F2D"/>
    <w:pPr>
      <w:framePr w:w="8108" w:wrap="notBeside" w:vAnchor="page" w:hAnchor="page" w:x="1589" w:y="1589" w:anchorLock="1"/>
      <w:spacing w:after="0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727C1"/>
    <w:pPr>
      <w:tabs>
        <w:tab w:val="center" w:pos="4513"/>
        <w:tab w:val="right" w:pos="9026"/>
      </w:tabs>
      <w:spacing w:after="0"/>
    </w:pPr>
    <w:rPr>
      <w:color w:val="727274" w:themeColor="text2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3727C1"/>
    <w:rPr>
      <w:color w:val="727274" w:themeColor="text2"/>
      <w:sz w:val="16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8956B9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tabs>
        <w:tab w:val="clear" w:pos="1209"/>
        <w:tab w:val="num" w:pos="360"/>
      </w:tabs>
      <w:ind w:left="0" w:firstLine="0"/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CoverSubtitle">
    <w:name w:val="Cover Subtitle"/>
    <w:basedOn w:val="Cover"/>
    <w:next w:val="CoverDate"/>
    <w:uiPriority w:val="26"/>
    <w:qFormat/>
    <w:rsid w:val="0030205D"/>
    <w:pPr>
      <w:framePr w:wrap="notBeside"/>
    </w:pPr>
    <w:rPr>
      <w:rFonts w:asciiTheme="minorHAnsi" w:hAnsiTheme="minorHAnsi"/>
      <w:b w:val="0"/>
    </w:rPr>
  </w:style>
  <w:style w:type="character" w:customStyle="1" w:styleId="Heading3Char">
    <w:name w:val="Heading 3 Char"/>
    <w:basedOn w:val="DefaultParagraphFont"/>
    <w:link w:val="Heading3"/>
    <w:uiPriority w:val="4"/>
    <w:rsid w:val="008956B9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5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5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5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AC7ABD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4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paragraph" w:customStyle="1" w:styleId="SectionNumber">
    <w:name w:val="Section Number"/>
    <w:basedOn w:val="Normal"/>
    <w:next w:val="SectionTitle"/>
    <w:uiPriority w:val="20"/>
    <w:qFormat/>
    <w:rsid w:val="00060FB6"/>
    <w:pPr>
      <w:numPr>
        <w:numId w:val="13"/>
      </w:numPr>
      <w:spacing w:before="9960" w:after="0"/>
    </w:pPr>
    <w:rPr>
      <w:rFonts w:asciiTheme="majorHAnsi" w:hAnsiTheme="majorHAnsi"/>
      <w:b/>
      <w:noProof/>
      <w:color w:val="F26522" w:themeColor="accent1"/>
      <w:sz w:val="152"/>
      <w:szCs w:val="152"/>
    </w:rPr>
  </w:style>
  <w:style w:type="paragraph" w:customStyle="1" w:styleId="SectionTitle">
    <w:name w:val="Section Title"/>
    <w:basedOn w:val="Normal"/>
    <w:next w:val="SectionSubheading"/>
    <w:uiPriority w:val="20"/>
    <w:qFormat/>
    <w:rsid w:val="00426B39"/>
    <w:pPr>
      <w:ind w:right="792"/>
      <w:outlineLvl w:val="0"/>
    </w:pPr>
    <w:rPr>
      <w:rFonts w:asciiTheme="majorHAnsi" w:hAnsiTheme="majorHAnsi"/>
      <w:b/>
      <w:color w:val="F26522" w:themeColor="accent1"/>
      <w:sz w:val="52"/>
      <w:szCs w:val="36"/>
    </w:r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65318E"/>
    <w:pPr>
      <w:spacing w:before="60" w:after="60"/>
    </w:pPr>
    <w:tblPr>
      <w:tblBorders>
        <w:top w:val="single" w:sz="8" w:space="0" w:color="F26522" w:themeColor="accent1"/>
        <w:bottom w:val="single" w:sz="8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8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26522" w:themeColor="accent1"/>
          <w:bottom w:val="single" w:sz="8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qFormat/>
    <w:rsid w:val="00BE3D3C"/>
    <w:pPr>
      <w:framePr w:wrap="notBeside"/>
    </w:pPr>
  </w:style>
  <w:style w:type="paragraph" w:customStyle="1" w:styleId="CoverDate">
    <w:name w:val="Cover Date"/>
    <w:basedOn w:val="CoverSubtitle"/>
    <w:next w:val="BodyText"/>
    <w:uiPriority w:val="27"/>
    <w:qFormat/>
    <w:rsid w:val="0030205D"/>
    <w:pPr>
      <w:framePr w:wrap="notBeside"/>
    </w:pPr>
    <w:rPr>
      <w:sz w:val="24"/>
    </w:r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401532"/>
    <w:pPr>
      <w:keepNext/>
      <w:keepLines/>
      <w:framePr w:w="2268" w:hSpace="170" w:wrap="around" w:vAnchor="text" w:hAnchor="page" w:x="7939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E54064"/>
    <w:pPr>
      <w:framePr w:wrap="notBeside"/>
    </w:pPr>
  </w:style>
  <w:style w:type="paragraph" w:customStyle="1" w:styleId="AppendixSectionTitle">
    <w:name w:val="Appendix Section Title"/>
    <w:basedOn w:val="SectionTitle"/>
    <w:next w:val="AppendixSubheading"/>
    <w:uiPriority w:val="99"/>
    <w:qFormat/>
    <w:rsid w:val="00D479C1"/>
    <w:rPr>
      <w:color w:val="FFFFFF" w:themeColor="background1"/>
    </w:rPr>
  </w:style>
  <w:style w:type="paragraph" w:customStyle="1" w:styleId="AppendixSectionNumber">
    <w:name w:val="Appendix Section Number"/>
    <w:next w:val="AppendixSectionTitle"/>
    <w:uiPriority w:val="99"/>
    <w:qFormat/>
    <w:rsid w:val="00060FB6"/>
    <w:pPr>
      <w:numPr>
        <w:numId w:val="16"/>
      </w:numPr>
      <w:spacing w:before="9960" w:after="0"/>
    </w:pPr>
    <w:rPr>
      <w:rFonts w:asciiTheme="majorHAnsi" w:hAnsiTheme="majorHAnsi"/>
      <w:b/>
      <w:color w:val="FFFFFF" w:themeColor="background1"/>
      <w:sz w:val="152"/>
      <w:szCs w:val="152"/>
      <w:lang w:val="en-GB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CVName">
    <w:name w:val="CV Name"/>
    <w:basedOn w:val="BodyText"/>
    <w:uiPriority w:val="99"/>
    <w:qFormat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qFormat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qFormat/>
    <w:rsid w:val="00EE3968"/>
  </w:style>
  <w:style w:type="paragraph" w:customStyle="1" w:styleId="SourceNotes">
    <w:name w:val="Source &amp; Notes"/>
    <w:basedOn w:val="BodyText"/>
    <w:uiPriority w:val="99"/>
    <w:qFormat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paragraph" w:customStyle="1" w:styleId="CVEmail">
    <w:name w:val="CV Email"/>
    <w:basedOn w:val="BodyText"/>
    <w:uiPriority w:val="99"/>
    <w:qFormat/>
    <w:rsid w:val="003B2874"/>
    <w:pPr>
      <w:tabs>
        <w:tab w:val="center" w:pos="1438"/>
      </w:tabs>
      <w:spacing w:after="0"/>
    </w:pPr>
    <w:rPr>
      <w:color w:val="F26522" w:themeColor="accent1"/>
      <w:sz w:val="18"/>
    </w:rPr>
  </w:style>
  <w:style w:type="paragraph" w:customStyle="1" w:styleId="SectionSubheading">
    <w:name w:val="Section Subheading"/>
    <w:basedOn w:val="CoverSubtitle"/>
    <w:uiPriority w:val="21"/>
    <w:qFormat/>
    <w:rsid w:val="00426B39"/>
    <w:pPr>
      <w:keepLines/>
      <w:framePr w:w="0" w:wrap="auto" w:vAnchor="margin" w:hAnchor="text" w:xAlign="left" w:yAlign="inline" w:anchorLock="0"/>
      <w:spacing w:after="120"/>
      <w:ind w:right="792"/>
    </w:pPr>
    <w:rPr>
      <w:noProof/>
      <w:sz w:val="32"/>
    </w:rPr>
  </w:style>
  <w:style w:type="paragraph" w:customStyle="1" w:styleId="AppendixSubheading">
    <w:name w:val="Appendix Subheading"/>
    <w:basedOn w:val="SectionSubheading"/>
    <w:uiPriority w:val="99"/>
    <w:qFormat/>
    <w:rsid w:val="00060FB6"/>
    <w:rPr>
      <w:color w:val="FFFFFF" w:themeColor="background1"/>
    </w:rPr>
  </w:style>
  <w:style w:type="character" w:styleId="Mention">
    <w:name w:val="Mention"/>
    <w:basedOn w:val="DefaultParagraphFont"/>
    <w:uiPriority w:val="99"/>
    <w:semiHidden/>
    <w:unhideWhenUsed/>
    <w:rsid w:val="006D6E17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6D6E17"/>
    <w:pPr>
      <w:spacing w:after="0" w:line="259" w:lineRule="auto"/>
      <w:outlineLvl w:val="9"/>
    </w:pPr>
    <w:rPr>
      <w:rFonts w:asciiTheme="majorHAnsi" w:hAnsiTheme="majorHAnsi"/>
      <w:b w:val="0"/>
      <w:bCs w:val="0"/>
      <w:color w:val="C3460B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rsid w:val="006D6E17"/>
    <w:pPr>
      <w:spacing w:after="100"/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image" Target="media/image4.emf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image" Target="media/image3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g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tor.soares\Desktop\DESKTOP%2006.12.2018\01%20ESO%20Identity%20-%20Templates\ESO%20Word%20Template%20-%20Full%20Width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/>
        <AccountId/>
        <AccountType/>
      </UserInfo>
    </File_x0020_Owner>
    <Folder xmlns="2c4a82d1-790b-4937-b400-0f0f718c57a9"/>
  </documentManagement>
</p:properties>
</file>

<file path=customXml/itemProps1.xml><?xml version="1.0" encoding="utf-8"?>
<ds:datastoreItem xmlns:ds="http://schemas.openxmlformats.org/officeDocument/2006/customXml" ds:itemID="{12D1EF67-810F-4FAD-8202-53230C8188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BCB43A-1F8B-47EC-8798-8ADA0AD99A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37F30-CC17-4542-B2ED-F35623A6B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5EBAF0-91D6-46A9-8EDA-C54445B3AD26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2c4a82d1-790b-4937-b400-0f0f718c57a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Full Width.dotx</Template>
  <TotalTime>52</TotalTime>
  <Pages>10</Pages>
  <Words>1211</Words>
  <Characters>6906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Full Width</vt:lpstr>
    </vt:vector>
  </TitlesOfParts>
  <Company>Hamilton-Brown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Full Width</dc:title>
  <dc:subject/>
  <dc:creator>National Grid</dc:creator>
  <cp:keywords/>
  <dc:description/>
  <cp:lastModifiedBy>Patel (ESO), Manpreet</cp:lastModifiedBy>
  <cp:revision>14</cp:revision>
  <cp:lastPrinted>2022-08-18T12:49:00Z</cp:lastPrinted>
  <dcterms:created xsi:type="dcterms:W3CDTF">2022-07-13T11:42:00Z</dcterms:created>
  <dcterms:modified xsi:type="dcterms:W3CDTF">2022-10-03T15:25:00Z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